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24" w:leftChars="202"/>
        <w:rPr>
          <w:rFonts w:ascii="宋体" w:hAnsi="宋体"/>
          <w:szCs w:val="21"/>
        </w:rPr>
      </w:pPr>
      <w:r>
        <w:rPr>
          <w:rFonts w:hint="eastAsia" w:ascii="宋体" w:hAnsi="宋体"/>
          <w:szCs w:val="21"/>
        </w:rPr>
        <w:t>合同编号： {{identifier}}</w:t>
      </w:r>
    </w:p>
    <w:p>
      <w:pPr>
        <w:adjustRightInd w:val="0"/>
        <w:snapToGrid w:val="0"/>
        <w:spacing w:line="360" w:lineRule="auto"/>
        <w:ind w:left="424" w:leftChars="202"/>
        <w:rPr>
          <w:sz w:val="44"/>
        </w:rPr>
      </w:pPr>
    </w:p>
    <w:p>
      <w:pPr>
        <w:adjustRightInd w:val="0"/>
        <w:snapToGrid w:val="0"/>
        <w:spacing w:line="360" w:lineRule="auto"/>
        <w:ind w:left="424" w:leftChars="202"/>
        <w:rPr>
          <w:rFonts w:ascii="黑体" w:eastAsia="黑体"/>
          <w:sz w:val="44"/>
        </w:rPr>
      </w:pPr>
    </w:p>
    <w:p>
      <w:pPr>
        <w:adjustRightInd w:val="0"/>
        <w:snapToGrid w:val="0"/>
        <w:spacing w:line="360" w:lineRule="auto"/>
        <w:ind w:left="424" w:leftChars="202"/>
        <w:jc w:val="center"/>
        <w:rPr>
          <w:rFonts w:ascii="黑体" w:eastAsia="黑体"/>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left="424" w:leftChars="202"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职业卫生（工业放射）</w:t>
      </w:r>
    </w:p>
    <w:p>
      <w:pPr>
        <w:adjustRightInd w:val="0"/>
        <w:snapToGrid w:val="0"/>
        <w:spacing w:line="312" w:lineRule="auto"/>
        <w:ind w:left="424" w:leftChars="202"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ind w:left="424" w:leftChars="202"/>
        <w:rPr>
          <w:sz w:val="36"/>
        </w:rPr>
      </w:pPr>
    </w:p>
    <w:p>
      <w:pPr>
        <w:adjustRightInd w:val="0"/>
        <w:snapToGrid w:val="0"/>
        <w:spacing w:line="312" w:lineRule="auto"/>
        <w:rPr>
          <w:rFonts w:ascii="宋体" w:hAnsi="宋体"/>
          <w:sz w:val="36"/>
        </w:rPr>
      </w:pPr>
    </w:p>
    <w:p>
      <w:pPr>
        <w:adjustRightInd w:val="0"/>
        <w:snapToGrid w:val="0"/>
        <w:spacing w:line="480" w:lineRule="auto"/>
        <w:ind w:left="424" w:leftChars="202" w:firstLine="750" w:firstLineChars="250"/>
        <w:jc w:val="left"/>
        <w:rPr>
          <w:rFonts w:ascii="宋体" w:hAnsi="宋体"/>
          <w:sz w:val="24"/>
          <w:szCs w:val="24"/>
          <w:u w:val="single"/>
        </w:rPr>
      </w:pPr>
      <w:r>
        <w:rPr>
          <w:rFonts w:hint="eastAsia" w:ascii="宋体" w:hAnsi="宋体"/>
          <w:bCs/>
          <w:sz w:val="30"/>
          <w:szCs w:val="30"/>
        </w:rPr>
        <w:t>项目名称：</w:t>
      </w:r>
      <w:r>
        <w:rPr>
          <w:rFonts w:hint="eastAsia" w:ascii="宋体" w:hAnsi="宋体"/>
          <w:sz w:val="24"/>
          <w:szCs w:val="24"/>
          <w:u w:val="single"/>
        </w:rPr>
        <w:t xml:space="preserve">  {{company}}</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line="480" w:lineRule="auto"/>
        <w:ind w:left="424" w:leftChars="202" w:firstLine="2280" w:firstLineChars="950"/>
        <w:jc w:val="left"/>
        <w:rPr>
          <w:rFonts w:ascii="宋体" w:hAnsi="宋体"/>
          <w:sz w:val="24"/>
          <w:szCs w:val="24"/>
          <w:u w:val="single"/>
        </w:rPr>
      </w:pPr>
      <w:r>
        <w:rPr>
          <w:rFonts w:hint="eastAsia" w:ascii="宋体" w:hAnsi="宋体"/>
          <w:sz w:val="24"/>
          <w:szCs w:val="24"/>
          <w:u w:val="single"/>
        </w:rPr>
        <w:t>建设项目职业病危害控制效果</w:t>
      </w:r>
      <w:r>
        <w:rPr>
          <w:rFonts w:ascii="Times New Roman" w:hAnsi="宋体"/>
          <w:bCs/>
          <w:sz w:val="24"/>
          <w:szCs w:val="24"/>
          <w:u w:val="single"/>
        </w:rPr>
        <w:t>评价</w:t>
      </w:r>
    </w:p>
    <w:p>
      <w:pPr>
        <w:tabs>
          <w:tab w:val="left" w:pos="8007"/>
        </w:tabs>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委托方（甲方）：</w:t>
      </w:r>
      <w:r>
        <w:rPr>
          <w:rFonts w:hint="eastAsia" w:ascii="宋体" w:hAnsi="宋体"/>
          <w:sz w:val="24"/>
          <w:szCs w:val="24"/>
          <w:u w:val="single"/>
        </w:rPr>
        <w:t xml:space="preserve">    {{entrustCompany}}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受托方（乙方）：</w:t>
      </w:r>
      <w:r>
        <w:rPr>
          <w:rFonts w:hint="eastAsia" w:ascii="宋体" w:hAnsi="宋体"/>
          <w:bCs/>
          <w:sz w:val="30"/>
          <w:szCs w:val="30"/>
          <w:u w:val="single"/>
        </w:rPr>
        <w:t xml:space="preserve">   </w:t>
      </w:r>
      <w:r>
        <w:rPr>
          <w:rFonts w:ascii="宋体" w:hAnsi="宋体"/>
          <w:sz w:val="24"/>
          <w:szCs w:val="24"/>
          <w:u w:val="single"/>
        </w:rPr>
        <w:t>浙江安联检测技术服务有限公司</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bCs/>
          <w:sz w:val="36"/>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年      月       日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p>
    <w:p>
      <w:pPr>
        <w:adjustRightInd w:val="0"/>
        <w:snapToGrid w:val="0"/>
        <w:spacing w:line="312" w:lineRule="auto"/>
        <w:ind w:left="424" w:leftChars="202"/>
        <w:rPr>
          <w:b/>
          <w:sz w:val="36"/>
        </w:rPr>
      </w:pPr>
    </w:p>
    <w:p>
      <w:pPr>
        <w:adjustRightInd w:val="0"/>
        <w:snapToGrid w:val="0"/>
        <w:spacing w:line="312" w:lineRule="auto"/>
        <w:ind w:left="424" w:leftChars="202"/>
        <w:rPr>
          <w:b/>
          <w:sz w:val="36"/>
        </w:rPr>
      </w:pPr>
    </w:p>
    <w:p>
      <w:pPr>
        <w:adjustRightInd w:val="0"/>
        <w:snapToGrid w:val="0"/>
        <w:spacing w:line="312" w:lineRule="auto"/>
        <w:ind w:left="424" w:leftChars="202"/>
        <w:rPr>
          <w:b/>
          <w:sz w:val="36"/>
        </w:rPr>
      </w:pPr>
    </w:p>
    <w:p>
      <w:pPr>
        <w:adjustRightInd w:val="0"/>
        <w:snapToGrid w:val="0"/>
        <w:spacing w:before="405" w:beforeLines="130" w:line="288" w:lineRule="auto"/>
        <w:ind w:left="424" w:leftChars="202" w:firstLine="315" w:firstLineChars="112"/>
        <w:jc w:val="center"/>
        <w:rPr>
          <w:rFonts w:ascii="黑体" w:hAnsi="黑体" w:eastAsia="黑体"/>
          <w:b/>
          <w:sz w:val="28"/>
          <w:szCs w:val="28"/>
        </w:rPr>
      </w:pPr>
      <w:r>
        <w:rPr>
          <w:rFonts w:ascii="宋体" w:hAnsi="宋体"/>
          <w:b/>
          <w:sz w:val="28"/>
          <w:szCs w:val="28"/>
        </w:rPr>
        <w:t>浙江安联检测技术服务有限公司</w:t>
      </w:r>
    </w:p>
    <w:p>
      <w:pPr>
        <w:tabs>
          <w:tab w:val="left" w:pos="7993"/>
        </w:tabs>
        <w:adjustRightInd w:val="0"/>
        <w:snapToGrid w:val="0"/>
        <w:ind w:left="424" w:leftChars="202"/>
        <w:jc w:val="center"/>
        <w:rPr>
          <w:sz w:val="44"/>
        </w:rPr>
      </w:pPr>
    </w:p>
    <w:p>
      <w:pPr>
        <w:tabs>
          <w:tab w:val="left" w:pos="7993"/>
        </w:tabs>
        <w:adjustRightInd w:val="0"/>
        <w:snapToGrid w:val="0"/>
        <w:ind w:left="424" w:leftChars="202"/>
        <w:jc w:val="center"/>
        <w:rPr>
          <w:sz w:val="44"/>
        </w:rPr>
      </w:pPr>
    </w:p>
    <w:p>
      <w:pPr>
        <w:adjustRightInd w:val="0"/>
        <w:snapToGrid w:val="0"/>
        <w:jc w:val="center"/>
        <w:rPr>
          <w:rFonts w:ascii="宋体" w:hAnsi="宋体"/>
          <w:sz w:val="40"/>
        </w:rPr>
      </w:pPr>
      <w:r>
        <w:rPr>
          <w:rFonts w:hint="eastAsia" w:ascii="宋体" w:hAnsi="宋体"/>
          <w:sz w:val="40"/>
        </w:rPr>
        <w:t>填 写 说 明</w:t>
      </w:r>
    </w:p>
    <w:p>
      <w:pPr>
        <w:adjustRightInd w:val="0"/>
        <w:snapToGrid w:val="0"/>
        <w:jc w:val="center"/>
        <w:rPr>
          <w:b/>
          <w:bCs/>
          <w:sz w:val="40"/>
        </w:rPr>
      </w:pPr>
    </w:p>
    <w:p>
      <w:pPr>
        <w:adjustRightInd w:val="0"/>
        <w:snapToGrid w:val="0"/>
        <w:spacing w:line="36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36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36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36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tabs>
          <w:tab w:val="left" w:pos="7993"/>
        </w:tabs>
        <w:adjustRightInd w:val="0"/>
        <w:snapToGrid w:val="0"/>
        <w:ind w:left="424" w:leftChars="202"/>
        <w:jc w:val="center"/>
        <w:rPr>
          <w:sz w:val="44"/>
        </w:r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spacing w:line="440" w:lineRule="exact"/>
        <w:ind w:left="424" w:leftChars="202"/>
        <w:jc w:val="center"/>
        <w:rPr>
          <w:rFonts w:ascii="黑体" w:eastAsia="黑体"/>
          <w:sz w:val="40"/>
        </w:rPr>
      </w:pPr>
      <w:r>
        <w:rPr>
          <w:rFonts w:hint="eastAsia" w:ascii="黑体" w:eastAsia="黑体"/>
          <w:sz w:val="40"/>
        </w:rPr>
        <w:t>技术服务合同</w:t>
      </w:r>
    </w:p>
    <w:p>
      <w:pPr>
        <w:pStyle w:val="3"/>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u w:val="single"/>
        </w:rPr>
        <w:t xml:space="preserve">  </w:t>
      </w:r>
      <w:r>
        <w:rPr>
          <w:rFonts w:hint="eastAsia" w:ascii="仿宋_GB2312" w:eastAsia="仿宋_GB2312"/>
          <w:sz w:val="24"/>
          <w:szCs w:val="28"/>
          <w:u w:val="single"/>
        </w:rPr>
        <w:t xml:space="preserve">  {{entrustCompany}}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{{entrustOfficeAddress}}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              </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w:t>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hint="eastAsia" w:ascii="仿宋_GB2312" w:eastAsia="仿宋_GB2312"/>
          <w:sz w:val="24"/>
          <w:u w:val="single"/>
        </w:rPr>
        <w:t xml:space="preserve">      {{phoneNumber}}    </w:t>
      </w:r>
      <w:r>
        <w:rPr>
          <w:rFonts w:hint="eastAsia" w:ascii="仿宋_GB2312" w:eastAsia="仿宋_GB2312"/>
          <w:sz w:val="24"/>
        </w:rPr>
        <w:t>电子信箱：</w:t>
      </w:r>
      <w:r>
        <w:rPr>
          <w:rFonts w:hint="eastAsia" w:ascii="仿宋_GB2312" w:eastAsia="仿宋_GB2312"/>
          <w:sz w:val="24"/>
          <w:u w:val="single"/>
        </w:rPr>
        <w:t xml:space="preserve">  </w:t>
      </w:r>
      <w:r>
        <w:rPr>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480"/>
        <w:rPr>
          <w:rFonts w:ascii="仿宋_GB2312" w:eastAsia="仿宋_GB2312"/>
          <w:sz w:val="24"/>
        </w:rPr>
      </w:pPr>
      <w:r>
        <w:rPr>
          <w:rFonts w:hint="eastAsia" w:ascii="仿宋_GB2312" w:eastAsia="仿宋_GB2312"/>
          <w:sz w:val="24"/>
        </w:rPr>
        <w:t>本合同甲方委托乙方就</w:t>
      </w:r>
      <w:r>
        <w:rPr>
          <w:rFonts w:hint="eastAsia" w:ascii="仿宋_GB2312" w:eastAsia="仿宋_GB2312"/>
          <w:sz w:val="24"/>
          <w:szCs w:val="28"/>
          <w:u w:val="single"/>
        </w:rPr>
        <w:t xml:space="preserve"> {{company}} </w:t>
      </w:r>
      <w:r>
        <w:rPr>
          <w:rFonts w:eastAsia="仿宋_GB2312"/>
          <w:sz w:val="24"/>
          <w:u w:val="single"/>
        </w:rPr>
        <w:t>建设</w:t>
      </w:r>
      <w:r>
        <w:rPr>
          <w:rFonts w:eastAsia="仿宋_GB2312"/>
          <w:sz w:val="24"/>
          <w:szCs w:val="21"/>
          <w:u w:val="single"/>
        </w:rPr>
        <w:t>项目职业病危害控制效果评价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的专项技术服务，并支付相应的技术服务报酬。双方经过平等协商，在真实、充分地表达各自意愿的基础上，根据《中华人民共和国民法典》的规定，达成如下协议，并由双方共同恪守。</w:t>
      </w:r>
    </w:p>
    <w:p>
      <w:pPr>
        <w:pStyle w:val="3"/>
        <w:spacing w:line="440" w:lineRule="exact"/>
        <w:ind w:left="424" w:leftChars="202" w:firstLine="480"/>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snapToGrid w:val="0"/>
        <w:spacing w:line="440" w:lineRule="exact"/>
        <w:ind w:left="424" w:leftChars="202" w:firstLine="480" w:firstLineChars="200"/>
        <w:rPr>
          <w:rFonts w:ascii="Times New Roman" w:hAnsi="Times New Roman" w:eastAsia="仿宋_GB2312"/>
          <w:sz w:val="24"/>
          <w:szCs w:val="21"/>
        </w:rPr>
      </w:pPr>
      <w:r>
        <w:rPr>
          <w:rFonts w:hint="eastAsia" w:ascii="仿宋_GB2312" w:eastAsia="仿宋_GB2312"/>
          <w:sz w:val="24"/>
        </w:rPr>
        <w:t>1．技术服务的目标：</w:t>
      </w:r>
      <w:r>
        <w:rPr>
          <w:rFonts w:ascii="Times New Roman" w:hAnsi="Times New Roman" w:eastAsia="仿宋_GB2312"/>
          <w:sz w:val="24"/>
          <w:szCs w:val="21"/>
        </w:rPr>
        <w:t>对</w:t>
      </w:r>
      <w:r>
        <w:rPr>
          <w:rFonts w:ascii="Times New Roman" w:hAnsi="Times New Roman" w:eastAsia="仿宋_GB2312"/>
          <w:sz w:val="24"/>
          <w:u w:val="single"/>
        </w:rPr>
        <w:t xml:space="preserve">  </w:t>
      </w:r>
      <w:r>
        <w:rPr>
          <w:rFonts w:hint="eastAsia" w:ascii="Times New Roman" w:hAnsi="Times New Roman" w:eastAsia="仿宋_GB2312"/>
          <w:sz w:val="24"/>
          <w:u w:val="single"/>
        </w:rPr>
        <w:t>{{company}}</w:t>
      </w:r>
      <w:r>
        <w:rPr>
          <w:rFonts w:ascii="Times New Roman" w:hAnsi="Times New Roman" w:eastAsia="仿宋_GB2312"/>
          <w:sz w:val="24"/>
          <w:u w:val="single"/>
        </w:rPr>
        <w:t xml:space="preserve">  </w:t>
      </w:r>
      <w:r>
        <w:rPr>
          <w:rFonts w:ascii="Times New Roman" w:hAnsi="Times New Roman" w:eastAsia="仿宋_GB2312"/>
          <w:sz w:val="24"/>
        </w:rPr>
        <w:t>建设</w:t>
      </w:r>
      <w:r>
        <w:rPr>
          <w:rFonts w:ascii="Times New Roman" w:hAnsi="Times New Roman" w:eastAsia="仿宋_GB2312"/>
          <w:sz w:val="24"/>
          <w:szCs w:val="21"/>
        </w:rPr>
        <w:t>项目进行职业病危害控制效果评价</w:t>
      </w:r>
      <w:r>
        <w:rPr>
          <w:rFonts w:hint="eastAsia" w:ascii="仿宋_GB2312" w:eastAsia="仿宋_GB2312"/>
          <w:sz w:val="24"/>
        </w:rPr>
        <w:t>（以下简称《控制效果评价报告》）</w:t>
      </w:r>
      <w:r>
        <w:rPr>
          <w:rFonts w:ascii="Times New Roman" w:hAnsi="Times New Roman" w:eastAsia="仿宋_GB2312"/>
          <w:sz w:val="24"/>
          <w:szCs w:val="21"/>
        </w:rPr>
        <w:t>。</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kern w:val="0"/>
          <w:sz w:val="24"/>
        </w:rPr>
        <w:t>2．技术服务的内容：</w:t>
      </w:r>
      <w:r>
        <w:rPr>
          <w:rFonts w:hint="eastAsia" w:ascii="仿宋_GB2312" w:eastAsia="仿宋_GB2312"/>
          <w:sz w:val="24"/>
        </w:rPr>
        <w:t>甲方委托乙方按照国家ZW-JB-2014-003《建设项目职业病危害控制效果评价报告编制要求》和《中华人民共和国职业病防治法》等要求编制《控制效果评价报告》。</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3．技术服务的方式：根据本项目的生产特点，出具符合ZW-JB-2014-003《建设项目职业病危害控制效果评价报告编制要求》的《控制效果评价报告》；履行对甲方在职业卫生管理等方面的技术服务和指导义务；协助甲方组织对《控制效果评价报告》的专家审查和竣工验收。</w:t>
      </w:r>
    </w:p>
    <w:p>
      <w:pPr>
        <w:snapToGrid w:val="0"/>
        <w:spacing w:line="440" w:lineRule="exact"/>
        <w:ind w:firstLine="840" w:firstLineChars="350"/>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snapToGrid w:val="0"/>
        <w:spacing w:line="440" w:lineRule="exact"/>
        <w:ind w:left="424" w:leftChars="202" w:firstLine="480" w:firstLineChars="200"/>
        <w:rPr>
          <w:rFonts w:ascii="仿宋_GB2312" w:hAnsi="宋体" w:eastAsia="仿宋_GB2312"/>
          <w:color w:val="000000"/>
          <w:sz w:val="24"/>
        </w:rPr>
      </w:pPr>
      <w:r>
        <w:rPr>
          <w:rFonts w:hint="eastAsia" w:ascii="仿宋_GB2312" w:hAnsi="宋体" w:eastAsia="仿宋_GB2312"/>
          <w:color w:val="000000"/>
          <w:sz w:val="24"/>
        </w:rPr>
        <w:t>1．检测和评价依据：</w:t>
      </w:r>
      <w:r>
        <w:rPr>
          <w:rFonts w:hint="eastAsia" w:ascii="仿宋_GB2312" w:hAnsi="宋体" w:eastAsia="仿宋_GB2312"/>
          <w:color w:val="auto"/>
          <w:sz w:val="24"/>
        </w:rPr>
        <w:t>GB 18871-2002《电离辐射防护与放射源安全基本标准》，HJ 1157-2021《环境γ辐射剂量率测量技术规范》及辐射源项相对应的</w:t>
      </w:r>
      <w:r>
        <w:rPr>
          <w:rFonts w:hint="eastAsia" w:ascii="仿宋_GB2312" w:hAnsi="宋体" w:eastAsia="仿宋_GB2312"/>
          <w:color w:val="000000"/>
          <w:sz w:val="24"/>
        </w:rPr>
        <w:t>法规、标准和规范；</w:t>
      </w:r>
    </w:p>
    <w:p>
      <w:pPr>
        <w:snapToGrid w:val="0"/>
        <w:spacing w:line="440" w:lineRule="exact"/>
        <w:ind w:left="424" w:leftChars="202" w:firstLine="480" w:firstLineChars="200"/>
        <w:rPr>
          <w:rFonts w:ascii="仿宋_GB2312" w:eastAsia="仿宋_GB2312"/>
          <w:color w:val="000000"/>
          <w:sz w:val="24"/>
          <w:u w:val="single"/>
        </w:rPr>
      </w:pPr>
      <w:r>
        <w:rPr>
          <w:rFonts w:hint="eastAsia" w:ascii="仿宋_GB2312" w:eastAsia="仿宋_GB2312"/>
          <w:color w:val="000000"/>
          <w:sz w:val="24"/>
        </w:rPr>
        <w:t>2．技术服务期限：自收到甲方提供本合同第三条第1款所列评价所需资料之日起45个工作日内完成评价工作；</w:t>
      </w:r>
    </w:p>
    <w:p>
      <w:pPr>
        <w:snapToGrid w:val="0"/>
        <w:spacing w:line="440" w:lineRule="exact"/>
        <w:ind w:left="424" w:leftChars="202" w:firstLine="480" w:firstLineChars="200"/>
        <w:rPr>
          <w:rFonts w:ascii="仿宋_GB2312" w:eastAsia="仿宋_GB2312"/>
          <w:color w:val="000000"/>
          <w:sz w:val="24"/>
          <w:u w:val="single"/>
        </w:rPr>
      </w:pPr>
      <w:r>
        <w:rPr>
          <w:rFonts w:hint="eastAsia" w:ascii="仿宋_GB2312" w:hAnsi="宋体" w:eastAsia="仿宋_GB2312"/>
          <w:color w:val="000000"/>
          <w:sz w:val="24"/>
        </w:rPr>
        <w:t>3．技术服务进度：根据甲方提供的相关资料进行文献检索、资料查询和职业卫生学调查研究和危害因素检测。在甲方满足乙方所需提供的资料之日起，安排编制《控制效果评价报告》；</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4．技术服务质量要求：按国家法律法规、规范和标准的要求，编制技术质量合格的《控制效果评价报告》，并经专家评审会通过；</w:t>
      </w:r>
    </w:p>
    <w:p>
      <w:pPr>
        <w:snapToGrid w:val="0"/>
        <w:spacing w:line="440" w:lineRule="exact"/>
        <w:ind w:left="424" w:leftChars="202" w:firstLine="480" w:firstLineChars="200"/>
        <w:rPr>
          <w:rFonts w:ascii="仿宋_GB2312" w:eastAsia="仿宋_GB2312"/>
          <w:bCs/>
          <w:sz w:val="24"/>
        </w:rPr>
      </w:pPr>
      <w:r>
        <w:rPr>
          <w:rFonts w:hint="eastAsia" w:ascii="仿宋_GB2312" w:eastAsia="仿宋_GB2312"/>
          <w:color w:val="000000"/>
          <w:sz w:val="24"/>
        </w:rPr>
        <w:t>5．</w:t>
      </w:r>
      <w:r>
        <w:rPr>
          <w:rFonts w:hint="eastAsia" w:ascii="仿宋_GB2312" w:eastAsia="仿宋_GB2312"/>
          <w:sz w:val="24"/>
        </w:rPr>
        <w:t>其他要求：甲方提供的检测资料乙方有保密义务。在现场的检测人员，应遵守甲方的有关的规章制度。乙方向甲方提供书面报告一式三份。</w:t>
      </w:r>
    </w:p>
    <w:p>
      <w:pPr>
        <w:snapToGrid w:val="0"/>
        <w:spacing w:line="440" w:lineRule="exact"/>
        <w:rPr>
          <w:rFonts w:ascii="仿宋_GB2312" w:eastAsia="仿宋_GB2312"/>
          <w:color w:val="000000"/>
          <w:sz w:val="24"/>
          <w:u w:val="single"/>
        </w:rPr>
      </w:pPr>
    </w:p>
    <w:p>
      <w:pPr>
        <w:pStyle w:val="3"/>
        <w:spacing w:line="440" w:lineRule="exact"/>
        <w:ind w:left="424" w:leftChars="202" w:firstLine="480"/>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为保证乙方有效进行职业卫生技术服务工作，</w:t>
      </w:r>
      <w:r>
        <w:rPr>
          <w:rFonts w:hint="eastAsia" w:ascii="仿宋_GB2312" w:eastAsia="仿宋_GB2312"/>
          <w:kern w:val="0"/>
          <w:sz w:val="24"/>
        </w:rPr>
        <w:t>甲方应当向乙方提供下列工作条件和协作事项：</w:t>
      </w:r>
    </w:p>
    <w:p>
      <w:pPr>
        <w:pStyle w:val="3"/>
        <w:spacing w:line="440" w:lineRule="exact"/>
        <w:ind w:left="424" w:leftChars="202" w:firstLine="480"/>
        <w:rPr>
          <w:rFonts w:ascii="仿宋_GB2312" w:eastAsia="仿宋_GB2312"/>
          <w:sz w:val="24"/>
        </w:rPr>
      </w:pPr>
      <w:r>
        <w:rPr>
          <w:rFonts w:hint="eastAsia" w:ascii="仿宋_GB2312" w:eastAsia="仿宋_GB2312"/>
          <w:color w:val="000000"/>
          <w:sz w:val="24"/>
        </w:rPr>
        <w:t>1．甲方需要</w:t>
      </w:r>
      <w:r>
        <w:rPr>
          <w:rFonts w:hint="eastAsia" w:ascii="仿宋_GB2312" w:eastAsia="仿宋_GB2312"/>
          <w:sz w:val="24"/>
        </w:rPr>
        <w:t>提供的技术资料：</w:t>
      </w:r>
    </w:p>
    <w:p>
      <w:pPr>
        <w:pStyle w:val="3"/>
        <w:spacing w:line="440" w:lineRule="exact"/>
        <w:ind w:left="424" w:leftChars="202" w:firstLine="480"/>
        <w:rPr>
          <w:rFonts w:ascii="仿宋_GB2312" w:eastAsia="仿宋_GB2312"/>
          <w:sz w:val="24"/>
        </w:rPr>
      </w:pPr>
      <w:r>
        <w:rPr>
          <w:rFonts w:hint="eastAsia" w:ascii="仿宋_GB2312" w:eastAsia="仿宋_GB2312"/>
          <w:sz w:val="24"/>
        </w:rPr>
        <w:t>（1）建设项目批准文件（投资立项批文）；</w:t>
      </w:r>
    </w:p>
    <w:p>
      <w:pPr>
        <w:pStyle w:val="3"/>
        <w:spacing w:line="440" w:lineRule="exact"/>
        <w:ind w:left="424" w:leftChars="202" w:firstLine="480"/>
        <w:rPr>
          <w:rFonts w:ascii="仿宋_GB2312" w:eastAsia="仿宋_GB2312"/>
          <w:sz w:val="24"/>
        </w:rPr>
      </w:pPr>
      <w:r>
        <w:rPr>
          <w:rFonts w:hint="eastAsia" w:ascii="仿宋_GB2312" w:eastAsia="仿宋_GB2312"/>
          <w:sz w:val="24"/>
        </w:rPr>
        <w:t>（2）建设项目环境影响评价报告书;</w:t>
      </w:r>
    </w:p>
    <w:p>
      <w:pPr>
        <w:pStyle w:val="3"/>
        <w:spacing w:line="440" w:lineRule="exact"/>
        <w:ind w:left="424" w:leftChars="202" w:firstLine="480"/>
        <w:rPr>
          <w:rFonts w:ascii="仿宋_GB2312" w:eastAsia="仿宋_GB2312"/>
          <w:sz w:val="24"/>
        </w:rPr>
      </w:pPr>
      <w:r>
        <w:rPr>
          <w:rFonts w:hint="eastAsia" w:ascii="仿宋_GB2312" w:eastAsia="仿宋_GB2312"/>
          <w:sz w:val="24"/>
        </w:rPr>
        <w:t>（3）建设项目相关验收图纸：地理位置图、总平面布置图、各楼层平面布置图；</w:t>
      </w:r>
    </w:p>
    <w:p>
      <w:pPr>
        <w:pStyle w:val="3"/>
        <w:spacing w:line="440" w:lineRule="exact"/>
        <w:ind w:left="424" w:leftChars="202" w:firstLine="480"/>
        <w:rPr>
          <w:rFonts w:ascii="仿宋_GB2312" w:eastAsia="仿宋_GB2312"/>
          <w:sz w:val="24"/>
        </w:rPr>
      </w:pPr>
      <w:r>
        <w:rPr>
          <w:rFonts w:hint="eastAsia" w:ascii="仿宋_GB2312" w:eastAsia="仿宋_GB2312"/>
          <w:sz w:val="24"/>
        </w:rPr>
        <w:t>（4）职业病防护设施设计专篇报告；</w:t>
      </w:r>
    </w:p>
    <w:p>
      <w:pPr>
        <w:pStyle w:val="3"/>
        <w:spacing w:line="440" w:lineRule="exact"/>
        <w:ind w:left="424" w:leftChars="202" w:firstLine="480"/>
        <w:rPr>
          <w:rFonts w:ascii="仿宋_GB2312" w:eastAsia="仿宋_GB2312"/>
          <w:sz w:val="24"/>
        </w:rPr>
      </w:pPr>
      <w:r>
        <w:rPr>
          <w:rFonts w:hint="eastAsia" w:ascii="仿宋_GB2312" w:eastAsia="仿宋_GB2312"/>
          <w:sz w:val="24"/>
        </w:rPr>
        <w:t>（5）职业卫生专篇相关内容：生产工艺流程图及其工艺技术说明；生产过程使用的原辅材料消耗数量表；化学品安全技术说明书（包括：化学品的标签、标识及产品检验报告等）；主要产品的名称和产量表；主要生产设备及其布置图；职业病防护设施及其布置图；工人作业岗位安排及作业时间表；防护用品发放记录和使用清单；职业病管理组织和制度等（应急救援预案及预案演练结果记录等）；</w:t>
      </w:r>
    </w:p>
    <w:p>
      <w:pPr>
        <w:snapToGrid w:val="0"/>
        <w:spacing w:line="440" w:lineRule="exact"/>
        <w:ind w:left="920" w:leftChars="324" w:hanging="240" w:hangingChars="100"/>
        <w:rPr>
          <w:rFonts w:ascii="仿宋_GB2312" w:eastAsia="仿宋_GB2312"/>
          <w:sz w:val="24"/>
          <w:szCs w:val="21"/>
        </w:rPr>
      </w:pPr>
      <w:r>
        <w:rPr>
          <w:rFonts w:hint="eastAsia" w:ascii="仿宋_GB2312" w:eastAsia="仿宋_GB2312"/>
          <w:sz w:val="24"/>
        </w:rPr>
        <w:t>（6） 试生产以来的职业健康监护资料（包括工人上岗前和在岗期间的体检资料）。</w:t>
      </w:r>
      <w:r>
        <w:rPr>
          <w:rFonts w:hint="eastAsia" w:ascii="仿宋_GB2312" w:eastAsia="仿宋_GB2312"/>
          <w:sz w:val="24"/>
          <w:szCs w:val="21"/>
        </w:rPr>
        <w:t>2．应承担的责任：</w:t>
      </w:r>
    </w:p>
    <w:p>
      <w:pPr>
        <w:snapToGrid w:val="0"/>
        <w:spacing w:line="440" w:lineRule="exact"/>
        <w:ind w:left="800" w:leftChars="324" w:hanging="120" w:hangingChars="5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napToGrid w:val="0"/>
        <w:spacing w:line="440" w:lineRule="exact"/>
        <w:ind w:left="800" w:leftChars="324" w:hanging="120" w:hangingChars="50"/>
        <w:rPr>
          <w:rFonts w:ascii="Times New Roman" w:hAnsi="Times New Roman" w:eastAsia="仿宋_GB2312"/>
          <w:sz w:val="24"/>
          <w:szCs w:val="21"/>
        </w:rPr>
      </w:pPr>
      <w:r>
        <w:rPr>
          <w:rFonts w:ascii="Times New Roman" w:hAnsi="Times New Roman" w:eastAsia="仿宋_GB2312"/>
          <w:sz w:val="24"/>
          <w:szCs w:val="21"/>
        </w:rPr>
        <w:t>（2）乙方对甲方提供相关技术资料及信息承担保密责任。</w:t>
      </w:r>
    </w:p>
    <w:p>
      <w:pPr>
        <w:snapToGrid w:val="0"/>
        <w:spacing w:line="440" w:lineRule="exact"/>
        <w:ind w:left="800" w:leftChars="324" w:hanging="120" w:hangingChars="50"/>
        <w:rPr>
          <w:rFonts w:ascii="仿宋_GB2312" w:eastAsia="仿宋_GB2312"/>
          <w:sz w:val="24"/>
        </w:rPr>
      </w:pPr>
    </w:p>
    <w:p>
      <w:pPr>
        <w:pStyle w:val="12"/>
        <w:spacing w:line="440" w:lineRule="exact"/>
        <w:ind w:left="424" w:leftChars="202" w:firstLine="480"/>
        <w:rPr>
          <w:rFonts w:ascii="Times New Roman" w:hAnsi="Times New Roman" w:eastAsia="仿宋_GB2312"/>
          <w:sz w:val="24"/>
          <w:szCs w:val="21"/>
        </w:rPr>
      </w:pPr>
      <w:r>
        <w:rPr>
          <w:rFonts w:ascii="Times New Roman" w:hAnsi="Times New Roman" w:eastAsia="黑体"/>
          <w:sz w:val="24"/>
          <w:szCs w:val="21"/>
        </w:rPr>
        <w:t xml:space="preserve">第四条  </w:t>
      </w:r>
      <w:r>
        <w:rPr>
          <w:rFonts w:ascii="Times New Roman" w:hAnsi="Times New Roman" w:eastAsia="仿宋_GB2312"/>
          <w:sz w:val="24"/>
          <w:szCs w:val="21"/>
        </w:rPr>
        <w:t>其他事宜：</w:t>
      </w:r>
    </w:p>
    <w:p>
      <w:pPr>
        <w:pStyle w:val="3"/>
        <w:tabs>
          <w:tab w:val="left" w:pos="426"/>
        </w:tabs>
        <w:spacing w:line="440" w:lineRule="exact"/>
        <w:ind w:left="424" w:leftChars="202" w:firstLine="480"/>
        <w:rPr>
          <w:rFonts w:eastAsia="仿宋_GB2312"/>
          <w:sz w:val="24"/>
          <w:szCs w:val="21"/>
          <w:u w:val="single"/>
        </w:rPr>
      </w:pPr>
      <w:r>
        <w:rPr>
          <w:rFonts w:hint="eastAsia" w:ascii="仿宋_GB2312" w:eastAsia="仿宋_GB2312"/>
          <w:sz w:val="24"/>
          <w:szCs w:val="21"/>
        </w:rPr>
        <w:t>1．</w:t>
      </w:r>
      <w:r>
        <w:rPr>
          <w:rFonts w:eastAsia="仿宋_GB2312"/>
          <w:sz w:val="24"/>
          <w:szCs w:val="21"/>
        </w:rPr>
        <w:t>报告书专家评审会的组织事宜：</w:t>
      </w:r>
      <w:r>
        <w:rPr>
          <w:rFonts w:eastAsia="仿宋_GB2312"/>
          <w:sz w:val="24"/>
        </w:rPr>
        <w:t>乙方按国家有关要求协助甲方组织召开对《控制效果评价报告》的专家审查会（邀请3名评审专家及当地</w:t>
      </w:r>
      <w:r>
        <w:rPr>
          <w:rFonts w:hint="eastAsia" w:eastAsia="仿宋_GB2312"/>
          <w:sz w:val="24"/>
        </w:rPr>
        <w:t>职业卫生</w:t>
      </w:r>
      <w:r>
        <w:rPr>
          <w:rFonts w:eastAsia="仿宋_GB2312"/>
          <w:sz w:val="24"/>
        </w:rPr>
        <w:t>监管部门人员参加评审会），负责评审专家的邀请和联系工作；甲方提供评审会的会议场所，并给予充分的工作便利条件</w:t>
      </w:r>
      <w:r>
        <w:rPr>
          <w:rFonts w:hint="eastAsia" w:eastAsia="仿宋_GB2312"/>
          <w:sz w:val="24"/>
        </w:rPr>
        <w:t>，</w:t>
      </w:r>
      <w:r>
        <w:rPr>
          <w:rFonts w:eastAsia="仿宋_GB2312"/>
          <w:sz w:val="24"/>
          <w:u w:val="single"/>
        </w:rPr>
        <w:t xml:space="preserve"> </w:t>
      </w:r>
      <w:r>
        <w:rPr>
          <w:rFonts w:eastAsia="仿宋_GB2312"/>
          <w:color w:val="auto"/>
          <w:sz w:val="24"/>
          <w:highlight w:val="none"/>
          <w:u w:val="single"/>
        </w:rPr>
        <w:t xml:space="preserve">    </w:t>
      </w:r>
      <w:r>
        <w:rPr>
          <w:rFonts w:eastAsia="仿宋_GB2312"/>
          <w:sz w:val="24"/>
          <w:u w:val="single"/>
        </w:rPr>
        <w:t>方</w:t>
      </w:r>
      <w:r>
        <w:rPr>
          <w:rFonts w:eastAsia="仿宋_GB2312"/>
          <w:sz w:val="24"/>
          <w:szCs w:val="21"/>
        </w:rPr>
        <w:t>承担</w:t>
      </w:r>
      <w:r>
        <w:rPr>
          <w:rFonts w:hint="eastAsia" w:eastAsia="仿宋_GB2312"/>
          <w:sz w:val="24"/>
        </w:rPr>
        <w:t>相关人员</w:t>
      </w:r>
      <w:r>
        <w:rPr>
          <w:rFonts w:eastAsia="仿宋_GB2312"/>
          <w:sz w:val="24"/>
          <w:szCs w:val="21"/>
        </w:rPr>
        <w:t>的评审费</w:t>
      </w:r>
      <w:r>
        <w:rPr>
          <w:rFonts w:eastAsia="仿宋_GB2312"/>
          <w:sz w:val="24"/>
        </w:rPr>
        <w:t>。</w:t>
      </w:r>
    </w:p>
    <w:p>
      <w:pPr>
        <w:pStyle w:val="3"/>
        <w:spacing w:line="440" w:lineRule="exact"/>
        <w:ind w:left="424" w:leftChars="202" w:firstLine="480"/>
        <w:rPr>
          <w:rFonts w:eastAsia="仿宋_GB2312"/>
          <w:sz w:val="24"/>
          <w:szCs w:val="21"/>
        </w:rPr>
      </w:pPr>
      <w:r>
        <w:rPr>
          <w:rFonts w:hint="eastAsia" w:eastAsia="仿宋_GB2312"/>
          <w:sz w:val="24"/>
          <w:szCs w:val="21"/>
        </w:rPr>
        <w:t>2</w:t>
      </w:r>
      <w:r>
        <w:rPr>
          <w:rFonts w:eastAsia="仿宋_GB2312"/>
          <w:sz w:val="24"/>
          <w:szCs w:val="21"/>
        </w:rPr>
        <w:t>. 对专家评审提出的整改要求，乙方应负责</w:t>
      </w:r>
      <w:r>
        <w:rPr>
          <w:rFonts w:eastAsia="仿宋_GB2312"/>
          <w:sz w:val="24"/>
        </w:rPr>
        <w:t>《控制效果评价报告》</w:t>
      </w:r>
      <w:r>
        <w:rPr>
          <w:rFonts w:eastAsia="仿宋_GB2312"/>
          <w:sz w:val="24"/>
          <w:szCs w:val="21"/>
        </w:rPr>
        <w:t>质量方面的修改；甲方应负责建设项目工程和作业场所职业卫生防护措施的整改。</w:t>
      </w:r>
    </w:p>
    <w:p>
      <w:pPr>
        <w:pStyle w:val="3"/>
        <w:spacing w:line="440" w:lineRule="exact"/>
        <w:ind w:left="424" w:leftChars="202" w:firstLine="480"/>
        <w:rPr>
          <w:rFonts w:eastAsia="仿宋_GB2312"/>
          <w:sz w:val="24"/>
          <w:szCs w:val="21"/>
        </w:rPr>
      </w:pPr>
      <w:r>
        <w:rPr>
          <w:rFonts w:hint="eastAsia" w:eastAsia="仿宋_GB2312"/>
          <w:sz w:val="24"/>
          <w:szCs w:val="21"/>
        </w:rPr>
        <w:t>3</w:t>
      </w:r>
      <w:r>
        <w:rPr>
          <w:rFonts w:eastAsia="仿宋_GB2312"/>
          <w:sz w:val="24"/>
          <w:szCs w:val="21"/>
        </w:rPr>
        <w:t>. 对专家评审和竣工验收时，出现评价资料与现场情况不符合需要补测时，属于乙方识别不准确引起的，由乙方无偿予以补测；属于甲方提供资料有误或工艺设备变更引起的，甲方应</w:t>
      </w:r>
      <w:r>
        <w:rPr>
          <w:rFonts w:hint="eastAsia" w:eastAsia="仿宋_GB2312"/>
          <w:sz w:val="24"/>
          <w:szCs w:val="21"/>
        </w:rPr>
        <w:t>支付</w:t>
      </w:r>
      <w:r>
        <w:rPr>
          <w:rFonts w:eastAsia="仿宋_GB2312"/>
          <w:sz w:val="24"/>
          <w:szCs w:val="21"/>
        </w:rPr>
        <w:t>乙方项目补测费用，具体补测费用双方协商决定</w:t>
      </w:r>
      <w:r>
        <w:rPr>
          <w:rFonts w:hint="eastAsia" w:eastAsia="仿宋_GB2312"/>
          <w:sz w:val="24"/>
          <w:szCs w:val="21"/>
        </w:rPr>
        <w:t>。</w:t>
      </w:r>
    </w:p>
    <w:p>
      <w:pPr>
        <w:pStyle w:val="3"/>
        <w:spacing w:line="440" w:lineRule="exact"/>
        <w:ind w:left="424" w:leftChars="202" w:firstLine="480"/>
        <w:rPr>
          <w:rFonts w:eastAsia="仿宋_GB2312"/>
          <w:sz w:val="24"/>
          <w:szCs w:val="21"/>
        </w:rPr>
      </w:pPr>
      <w:r>
        <w:rPr>
          <w:rFonts w:hint="eastAsia" w:eastAsia="仿宋_GB2312"/>
          <w:sz w:val="24"/>
          <w:szCs w:val="21"/>
        </w:rPr>
        <w:t>4</w:t>
      </w:r>
      <w:r>
        <w:rPr>
          <w:rFonts w:eastAsia="仿宋_GB2312"/>
          <w:sz w:val="24"/>
          <w:szCs w:val="21"/>
        </w:rPr>
        <w:t>. 对检测期间出现甲方公司作业场所检测结果超标而要求现场整改并重新检测的，重测时发生的检测费用由甲方公司另行承担。若上述检测结果超标由乙方操作、样品污染等其他人为失误引起的，乙方自行承担重测之检测费用。</w:t>
      </w:r>
    </w:p>
    <w:p>
      <w:pPr>
        <w:pStyle w:val="12"/>
        <w:spacing w:line="360" w:lineRule="auto"/>
        <w:ind w:firstLine="960" w:firstLineChars="400"/>
        <w:rPr>
          <w:rFonts w:ascii="Times New Roman" w:hAnsi="Times New Roman" w:eastAsia="仿宋_GB2312"/>
          <w:sz w:val="24"/>
          <w:szCs w:val="21"/>
        </w:rPr>
      </w:pPr>
      <w:r>
        <w:rPr>
          <w:rFonts w:eastAsia="仿宋_GB2312"/>
          <w:sz w:val="24"/>
          <w:szCs w:val="21"/>
        </w:rPr>
        <w:t>5.</w:t>
      </w:r>
      <w:r>
        <w:rPr>
          <w:rFonts w:hint="eastAsia" w:ascii="Times New Roman" w:hAnsi="Times New Roman" w:eastAsia="仿宋_GB2312"/>
          <w:sz w:val="24"/>
          <w:szCs w:val="21"/>
        </w:rPr>
        <w:t>涉及评判时按规则评判，如果有疑问与甲方商量决定。</w:t>
      </w:r>
    </w:p>
    <w:p>
      <w:pPr>
        <w:pStyle w:val="3"/>
        <w:spacing w:line="440" w:lineRule="exact"/>
        <w:ind w:left="424" w:leftChars="202" w:firstLine="480"/>
        <w:rPr>
          <w:rFonts w:ascii="仿宋_GB2312" w:eastAsia="仿宋_GB2312"/>
          <w:sz w:val="24"/>
        </w:rPr>
      </w:pPr>
      <w:r>
        <w:rPr>
          <w:rFonts w:hint="eastAsia" w:ascii="黑体" w:eastAsia="黑体"/>
          <w:sz w:val="24"/>
        </w:rPr>
        <w:t>第五条</w:t>
      </w:r>
      <w:r>
        <w:rPr>
          <w:rFonts w:hint="eastAsia" w:ascii="楷体_GB2312" w:eastAsia="楷体_GB2312"/>
          <w:sz w:val="24"/>
        </w:rPr>
        <w:t xml:space="preserve"> </w:t>
      </w:r>
      <w:r>
        <w:rPr>
          <w:rFonts w:hint="eastAsia" w:ascii="仿宋_GB2312" w:eastAsia="仿宋_GB2312"/>
          <w:sz w:val="24"/>
        </w:rPr>
        <w:t>甲方向乙方支付技术服务报酬及支付方式为：</w:t>
      </w:r>
    </w:p>
    <w:p>
      <w:pPr>
        <w:pStyle w:val="3"/>
        <w:spacing w:line="440" w:lineRule="exact"/>
        <w:ind w:left="424" w:leftChars="202" w:firstLine="480"/>
        <w:rPr>
          <w:rFonts w:ascii="仿宋_GB2312" w:eastAsia="仿宋_GB2312"/>
          <w:sz w:val="24"/>
        </w:rPr>
      </w:pPr>
      <w:r>
        <w:rPr>
          <w:rFonts w:hint="eastAsia" w:ascii="仿宋_GB2312" w:eastAsia="仿宋_GB2312"/>
          <w:sz w:val="24"/>
        </w:rPr>
        <w:t>1．技术服务费总额为：</w:t>
      </w:r>
      <w:r>
        <w:rPr>
          <w:rFonts w:hint="eastAsia" w:ascii="仿宋_GB2312" w:eastAsia="仿宋_GB2312"/>
          <w:sz w:val="24"/>
          <w:u w:val="single"/>
        </w:rPr>
        <w:t xml:space="preserve">   {{totalMoneyStr}}（小写：</w:t>
      </w:r>
      <w:r>
        <w:rPr>
          <w:rFonts w:eastAsia="仿宋_GB2312" w:asciiTheme="minorHAnsi" w:hAnsiTheme="minorHAnsi"/>
          <w:sz w:val="24"/>
          <w:u w:val="single"/>
        </w:rPr>
        <w:t>¥</w:t>
      </w:r>
      <w:r>
        <w:rPr>
          <w:rFonts w:hint="eastAsia" w:ascii="仿宋_GB2312" w:eastAsia="仿宋_GB2312"/>
          <w:sz w:val="24"/>
          <w:u w:val="single"/>
        </w:rPr>
        <w:t xml:space="preserve">  {{totalMoney}} ） </w:t>
      </w:r>
      <w:r>
        <w:rPr>
          <w:rFonts w:hint="eastAsia" w:ascii="仿宋_GB2312" w:eastAsia="仿宋_GB2312"/>
          <w:sz w:val="24"/>
        </w:rPr>
        <w:t>；</w:t>
      </w:r>
    </w:p>
    <w:p>
      <w:pPr>
        <w:pStyle w:val="3"/>
        <w:spacing w:line="440" w:lineRule="exact"/>
        <w:ind w:left="424" w:leftChars="202" w:firstLine="480"/>
        <w:rPr>
          <w:rFonts w:ascii="仿宋_GB2312" w:eastAsia="仿宋_GB2312"/>
          <w:sz w:val="24"/>
        </w:rPr>
      </w:pPr>
      <w:r>
        <w:rPr>
          <w:rFonts w:hint="eastAsia" w:ascii="仿宋_GB2312" w:eastAsia="仿宋_GB2312"/>
          <w:sz w:val="24"/>
        </w:rPr>
        <w:t>2．技术服务费支付方式：</w:t>
      </w:r>
    </w:p>
    <w:p>
      <w:pPr>
        <w:pStyle w:val="3"/>
        <w:spacing w:line="440" w:lineRule="exact"/>
        <w:ind w:left="424" w:leftChars="202" w:firstLine="480"/>
        <w:rPr>
          <w:rFonts w:eastAsia="仿宋_GB2312"/>
          <w:sz w:val="24"/>
          <w:szCs w:val="21"/>
        </w:rPr>
      </w:pPr>
      <w:r>
        <w:rPr>
          <w:rFonts w:hint="eastAsia" w:ascii="仿宋_GB2312" w:eastAsia="仿宋_GB2312"/>
          <w:sz w:val="24"/>
        </w:rPr>
        <w:t>2</w:t>
      </w:r>
      <w:r>
        <w:rPr>
          <w:rFonts w:ascii="仿宋_GB2312" w:eastAsia="仿宋_GB2312"/>
          <w:sz w:val="24"/>
        </w:rPr>
        <w:t>.1</w:t>
      </w:r>
      <w:r>
        <w:rPr>
          <w:rFonts w:eastAsia="仿宋_GB2312"/>
          <w:sz w:val="24"/>
          <w:szCs w:val="21"/>
        </w:rPr>
        <w:t>合同签订后</w:t>
      </w:r>
      <w:r>
        <w:rPr>
          <w:rFonts w:hint="eastAsia" w:eastAsia="仿宋_GB2312"/>
          <w:sz w:val="24"/>
          <w:szCs w:val="21"/>
        </w:rPr>
        <w:t>5</w:t>
      </w:r>
      <w:r>
        <w:rPr>
          <w:rFonts w:eastAsia="仿宋_GB2312"/>
          <w:sz w:val="24"/>
          <w:szCs w:val="21"/>
        </w:rPr>
        <w:t>个工作日内，甲方支付技术服务费总价的50%；在专家评审通过后，乙方开具全额增值税专用发票（税率</w:t>
      </w:r>
      <w:r>
        <w:rPr>
          <w:rFonts w:hint="eastAsia" w:eastAsia="仿宋_GB2312"/>
          <w:sz w:val="24"/>
          <w:szCs w:val="21"/>
        </w:rPr>
        <w:t>6%</w:t>
      </w:r>
      <w:r>
        <w:rPr>
          <w:rFonts w:eastAsia="仿宋_GB2312"/>
          <w:sz w:val="24"/>
          <w:szCs w:val="21"/>
        </w:rPr>
        <w:t>）给甲方，甲方支付剩余的50%技术服务费后，乙方向甲方递交符合质量要求的《控制效果评价报告》。</w:t>
      </w:r>
    </w:p>
    <w:p>
      <w:pPr>
        <w:pStyle w:val="3"/>
        <w:spacing w:line="440" w:lineRule="exact"/>
        <w:ind w:left="424" w:leftChars="202" w:firstLine="480"/>
        <w:rPr>
          <w:rFonts w:hint="eastAsia" w:ascii="仿宋_GB2312" w:eastAsia="仿宋_GB2312"/>
          <w:sz w:val="24"/>
        </w:rPr>
      </w:pPr>
      <w:r>
        <w:rPr>
          <w:rFonts w:ascii="仿宋_GB2312" w:eastAsia="仿宋_GB2312"/>
          <w:sz w:val="24"/>
        </w:rPr>
        <w:t>2.2</w:t>
      </w:r>
      <w:r>
        <w:rPr>
          <w:rFonts w:hint="eastAsia" w:eastAsia="仿宋_GB2312"/>
          <w:sz w:val="24"/>
          <w:szCs w:val="21"/>
        </w:rPr>
        <w:t>甲方应在收到乙方开具的发票后1</w:t>
      </w:r>
      <w:r>
        <w:rPr>
          <w:rFonts w:eastAsia="仿宋_GB2312"/>
          <w:sz w:val="24"/>
          <w:szCs w:val="21"/>
        </w:rPr>
        <w:t>5</w:t>
      </w:r>
      <w:r>
        <w:rPr>
          <w:rFonts w:hint="eastAsia" w:eastAsia="仿宋_GB2312"/>
          <w:sz w:val="24"/>
          <w:szCs w:val="21"/>
        </w:rPr>
        <w:t>个工作日内以电汇或银行转账的形式对公付款给乙方（技术咨询服务，谢绝承兑汇票）。</w:t>
      </w:r>
    </w:p>
    <w:p>
      <w:pPr>
        <w:pStyle w:val="3"/>
        <w:spacing w:line="440" w:lineRule="exact"/>
        <w:ind w:left="424" w:leftChars="202" w:firstLine="480"/>
        <w:rPr>
          <w:rFonts w:ascii="仿宋_GB2312" w:eastAsia="仿宋_GB2312"/>
          <w:sz w:val="24"/>
          <w:szCs w:val="21"/>
        </w:rPr>
      </w:pPr>
      <w:r>
        <w:rPr>
          <w:rFonts w:hint="eastAsia" w:ascii="仿宋_GB2312" w:eastAsia="仿宋_GB2312"/>
          <w:sz w:val="24"/>
          <w:szCs w:val="21"/>
        </w:rPr>
        <w:t>3.</w:t>
      </w:r>
      <w:r>
        <w:rPr>
          <w:rFonts w:hint="eastAsia" w:ascii="仿宋_GB2312" w:eastAsia="仿宋_GB2312"/>
          <w:sz w:val="24"/>
        </w:rPr>
        <w:t>乙方户名、开户银行和帐号为：</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户    名：</w:t>
      </w:r>
      <w:r>
        <w:rPr>
          <w:rFonts w:hint="eastAsia" w:ascii="仿宋_GB2312" w:eastAsia="仿宋_GB2312"/>
          <w:sz w:val="24"/>
          <w:u w:val="single"/>
        </w:rPr>
        <w:t xml:space="preserve">      浙江安联检测技术服务有限公司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开户银行：</w:t>
      </w:r>
      <w:r>
        <w:rPr>
          <w:rFonts w:hint="eastAsia" w:ascii="仿宋_GB2312" w:eastAsia="仿宋_GB2312"/>
          <w:sz w:val="24"/>
          <w:u w:val="single"/>
        </w:rPr>
        <w:t xml:space="preserve">    广发银行杭州萧然支行        </w:t>
      </w:r>
    </w:p>
    <w:p>
      <w:pPr>
        <w:pStyle w:val="3"/>
        <w:spacing w:line="440" w:lineRule="exact"/>
        <w:ind w:left="424" w:leftChars="202" w:firstLine="720" w:firstLineChars="300"/>
        <w:rPr>
          <w:rFonts w:ascii="仿宋_GB2312" w:eastAsia="仿宋_GB2312"/>
          <w:sz w:val="24"/>
        </w:rPr>
      </w:pPr>
      <w:r>
        <w:rPr>
          <w:rFonts w:hint="eastAsia" w:ascii="仿宋_GB2312" w:eastAsia="仿宋_GB2312"/>
          <w:sz w:val="24"/>
        </w:rPr>
        <w:t>账    号：</w:t>
      </w:r>
      <w:r>
        <w:rPr>
          <w:rFonts w:hint="eastAsia" w:ascii="仿宋_GB2312" w:eastAsia="仿宋_GB2312"/>
          <w:sz w:val="24"/>
          <w:u w:val="single"/>
        </w:rPr>
        <w:t xml:space="preserve">       9550880235893800131</w:t>
      </w:r>
      <w:bookmarkStart w:id="0" w:name="_GoBack"/>
      <w:bookmarkEnd w:id="0"/>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p>
    <w:p>
      <w:pPr>
        <w:pStyle w:val="12"/>
        <w:spacing w:line="440" w:lineRule="exact"/>
        <w:ind w:left="424" w:leftChars="202" w:firstLine="482"/>
        <w:rPr>
          <w:rFonts w:ascii="仿宋_GB2312" w:eastAsia="仿宋_GB2312"/>
          <w:sz w:val="24"/>
          <w:szCs w:val="21"/>
        </w:rPr>
      </w:pPr>
      <w:r>
        <w:rPr>
          <w:rFonts w:hint="eastAsia" w:ascii="黑体" w:eastAsia="黑体"/>
          <w:b/>
          <w:sz w:val="24"/>
        </w:rPr>
        <w:t>第六条</w:t>
      </w:r>
      <w:r>
        <w:rPr>
          <w:rFonts w:hint="eastAsia" w:ascii="楷体_GB2312" w:eastAsia="楷体_GB2312"/>
          <w:b/>
          <w:bCs/>
          <w:sz w:val="24"/>
          <w:szCs w:val="21"/>
        </w:rPr>
        <w:t xml:space="preserve"> </w:t>
      </w:r>
      <w:r>
        <w:rPr>
          <w:rFonts w:hint="eastAsia" w:ascii="楷体_GB2312" w:eastAsia="楷体_GB2312"/>
          <w:sz w:val="24"/>
          <w:szCs w:val="21"/>
        </w:rPr>
        <w:t xml:space="preserve"> </w:t>
      </w:r>
      <w:r>
        <w:rPr>
          <w:rFonts w:hint="eastAsia" w:ascii="仿宋_GB2312" w:eastAsia="仿宋_GB2312"/>
          <w:sz w:val="24"/>
          <w:szCs w:val="21"/>
        </w:rPr>
        <w:t>本合同的变更必须由双方协商一致，并以书面形式确定。但在发生不可抗力因素影响评价工作正常进行时，一方可以向另一方提出变更合同权利与义务的请求，另一方应当在</w:t>
      </w:r>
      <w:r>
        <w:rPr>
          <w:rFonts w:hint="eastAsia" w:ascii="仿宋_GB2312" w:eastAsia="仿宋_GB2312"/>
          <w:sz w:val="24"/>
          <w:szCs w:val="21"/>
          <w:u w:val="single"/>
        </w:rPr>
        <w:t xml:space="preserve"> </w:t>
      </w:r>
      <w:r>
        <w:rPr>
          <w:rFonts w:ascii="仿宋_GB2312" w:eastAsia="仿宋_GB2312"/>
          <w:sz w:val="24"/>
          <w:szCs w:val="21"/>
          <w:u w:val="single"/>
        </w:rPr>
        <w:t>5</w:t>
      </w:r>
      <w:r>
        <w:rPr>
          <w:rFonts w:hint="eastAsia" w:ascii="仿宋_GB2312" w:eastAsia="仿宋_GB2312"/>
          <w:sz w:val="24"/>
          <w:szCs w:val="21"/>
          <w:u w:val="single"/>
        </w:rPr>
        <w:t xml:space="preserve"> </w:t>
      </w:r>
      <w:r>
        <w:rPr>
          <w:rFonts w:hint="eastAsia" w:ascii="仿宋_GB2312" w:eastAsia="仿宋_GB2312"/>
          <w:sz w:val="24"/>
          <w:szCs w:val="21"/>
        </w:rPr>
        <w:t>日内予以答复；逾期未予答复的，视为同意。</w:t>
      </w:r>
    </w:p>
    <w:p>
      <w:pPr>
        <w:pStyle w:val="3"/>
        <w:spacing w:line="440" w:lineRule="exact"/>
        <w:ind w:left="424" w:leftChars="202" w:firstLine="480"/>
        <w:rPr>
          <w:rFonts w:ascii="仿宋_GB2312" w:eastAsia="仿宋_GB2312"/>
          <w:sz w:val="24"/>
          <w:szCs w:val="21"/>
        </w:rPr>
      </w:pPr>
      <w:r>
        <w:rPr>
          <w:rFonts w:hint="eastAsia" w:ascii="黑体" w:eastAsia="黑体"/>
          <w:sz w:val="24"/>
        </w:rPr>
        <w:t>第七条</w:t>
      </w:r>
      <w:r>
        <w:rPr>
          <w:rFonts w:hint="eastAsia" w:ascii="仿宋_GB2312" w:eastAsia="仿宋_GB2312"/>
          <w:sz w:val="24"/>
          <w:szCs w:val="21"/>
        </w:rPr>
        <w:t xml:space="preserve">  双方确定，按以下约定承担各自的违约责任：</w:t>
      </w:r>
    </w:p>
    <w:p>
      <w:pPr>
        <w:pStyle w:val="3"/>
        <w:spacing w:line="440" w:lineRule="exact"/>
        <w:ind w:left="917" w:leftChars="0"/>
        <w:rPr>
          <w:rFonts w:ascii="仿宋_GB2312" w:eastAsia="仿宋_GB2312"/>
          <w:sz w:val="24"/>
          <w:szCs w:val="21"/>
        </w:rPr>
      </w:pPr>
      <w:r>
        <w:rPr>
          <w:rFonts w:hint="eastAsia" w:ascii="仿宋_GB2312" w:eastAsia="仿宋_GB2312"/>
          <w:sz w:val="24"/>
          <w:szCs w:val="21"/>
        </w:rPr>
        <w:t>1.甲方单方面解除合同的，应当支付违约金，</w:t>
      </w:r>
      <w:r>
        <w:rPr>
          <w:rFonts w:hint="eastAsia" w:ascii="仿宋_GB2312" w:eastAsia="仿宋_GB2312"/>
          <w:sz w:val="24"/>
          <w:szCs w:val="21"/>
          <w:u w:val="single"/>
        </w:rPr>
        <w:t>违约金按合同总额的</w:t>
      </w:r>
      <w:r>
        <w:rPr>
          <w:rFonts w:ascii="仿宋_GB2312" w:eastAsia="仿宋_GB2312"/>
          <w:sz w:val="24"/>
          <w:szCs w:val="21"/>
          <w:u w:val="single"/>
        </w:rPr>
        <w:t>50%</w:t>
      </w:r>
      <w:r>
        <w:rPr>
          <w:rFonts w:hint="eastAsia" w:ascii="仿宋_GB2312" w:eastAsia="仿宋_GB2312"/>
          <w:sz w:val="24"/>
          <w:szCs w:val="21"/>
          <w:u w:val="single"/>
        </w:rPr>
        <w:t>支付；</w:t>
      </w:r>
    </w:p>
    <w:p>
      <w:pPr>
        <w:pStyle w:val="3"/>
        <w:spacing w:line="440" w:lineRule="exact"/>
        <w:ind w:left="424" w:leftChars="202" w:firstLine="480"/>
        <w:rPr>
          <w:rFonts w:ascii="仿宋_GB2312" w:eastAsia="仿宋_GB2312"/>
          <w:sz w:val="24"/>
          <w:szCs w:val="21"/>
        </w:rPr>
      </w:pPr>
      <w:r>
        <w:rPr>
          <w:rFonts w:hint="eastAsia" w:ascii="仿宋_GB2312" w:eastAsia="仿宋_GB2312"/>
          <w:sz w:val="24"/>
          <w:szCs w:val="21"/>
        </w:rPr>
        <w:t>2.乙方单方面解除合同的，应当支付违约金，</w:t>
      </w:r>
      <w:r>
        <w:rPr>
          <w:rFonts w:hint="eastAsia" w:ascii="仿宋_GB2312" w:eastAsia="仿宋_GB2312"/>
          <w:sz w:val="24"/>
          <w:szCs w:val="21"/>
          <w:u w:val="single"/>
        </w:rPr>
        <w:t>违约金按合同总额的</w:t>
      </w:r>
      <w:r>
        <w:rPr>
          <w:rFonts w:ascii="仿宋_GB2312" w:eastAsia="仿宋_GB2312"/>
          <w:sz w:val="24"/>
          <w:szCs w:val="21"/>
          <w:u w:val="single"/>
        </w:rPr>
        <w:t>50%</w:t>
      </w:r>
      <w:r>
        <w:rPr>
          <w:rFonts w:hint="eastAsia" w:ascii="仿宋_GB2312" w:eastAsia="仿宋_GB2312"/>
          <w:sz w:val="24"/>
          <w:szCs w:val="21"/>
          <w:u w:val="single"/>
        </w:rPr>
        <w:t>支付；</w:t>
      </w:r>
    </w:p>
    <w:p>
      <w:pPr>
        <w:pStyle w:val="3"/>
        <w:spacing w:line="440" w:lineRule="exact"/>
        <w:ind w:left="424" w:leftChars="202" w:firstLine="480"/>
        <w:rPr>
          <w:rFonts w:ascii="仿宋_GB2312" w:eastAsia="仿宋_GB2312"/>
          <w:sz w:val="24"/>
          <w:szCs w:val="21"/>
        </w:rPr>
      </w:pPr>
      <w:r>
        <w:rPr>
          <w:rFonts w:hint="eastAsia" w:ascii="仿宋_GB2312" w:eastAsia="仿宋_GB2312"/>
          <w:sz w:val="24"/>
          <w:szCs w:val="21"/>
        </w:rPr>
        <w:t>3．甲乙双方应对彼此之间提供的信息、资料、图纸，以及发展方向的交流信息等资料负有保密责任，一方违约给对方造成损失的，应赔偿因此给对方造成的损失；</w:t>
      </w:r>
    </w:p>
    <w:p>
      <w:pPr>
        <w:pStyle w:val="3"/>
        <w:spacing w:line="440" w:lineRule="exact"/>
        <w:ind w:left="424" w:leftChars="202" w:firstLine="480"/>
        <w:rPr>
          <w:rFonts w:ascii="仿宋_GB2312" w:eastAsia="仿宋_GB2312"/>
          <w:sz w:val="24"/>
          <w:szCs w:val="21"/>
        </w:rPr>
      </w:pPr>
      <w:r>
        <w:rPr>
          <w:rFonts w:hint="eastAsia" w:ascii="仿宋_GB2312" w:eastAsia="仿宋_GB2312"/>
          <w:sz w:val="24"/>
          <w:szCs w:val="21"/>
        </w:rPr>
        <w:t>4.甲方延期付款的，按合同总额的</w:t>
      </w:r>
      <w:r>
        <w:rPr>
          <w:rFonts w:ascii="仿宋_GB2312" w:eastAsia="仿宋_GB2312"/>
          <w:sz w:val="24"/>
          <w:szCs w:val="21"/>
          <w:u w:val="single"/>
        </w:rPr>
        <w:t>4‰/</w:t>
      </w:r>
      <w:r>
        <w:rPr>
          <w:rFonts w:hint="eastAsia" w:ascii="仿宋_GB2312" w:eastAsia="仿宋_GB2312"/>
          <w:sz w:val="24"/>
          <w:szCs w:val="21"/>
          <w:u w:val="single"/>
        </w:rPr>
        <w:t>天</w:t>
      </w:r>
      <w:r>
        <w:rPr>
          <w:rFonts w:hint="eastAsia" w:ascii="仿宋_GB2312" w:eastAsia="仿宋_GB2312"/>
          <w:sz w:val="24"/>
          <w:szCs w:val="21"/>
        </w:rPr>
        <w:t>支付给乙方违约金；</w:t>
      </w:r>
    </w:p>
    <w:p>
      <w:pPr>
        <w:pStyle w:val="3"/>
        <w:spacing w:line="440" w:lineRule="exact"/>
        <w:ind w:left="424" w:leftChars="202" w:firstLine="480" w:firstLineChars="200"/>
        <w:jc w:val="left"/>
        <w:rPr>
          <w:rFonts w:ascii="仿宋_GB2312" w:eastAsia="仿宋_GB2312"/>
          <w:sz w:val="24"/>
          <w:u w:val="single"/>
        </w:rPr>
      </w:pPr>
      <w:r>
        <w:rPr>
          <w:rFonts w:hint="eastAsia" w:ascii="黑体" w:eastAsia="黑体"/>
          <w:sz w:val="24"/>
        </w:rPr>
        <w:t>第八条</w:t>
      </w:r>
      <w:r>
        <w:rPr>
          <w:rFonts w:hint="eastAsia" w:ascii="仿宋_GB2312" w:eastAsia="仿宋_GB2312"/>
          <w:sz w:val="24"/>
        </w:rPr>
        <w:t xml:space="preserve">  双方确定，在本合同有效期内，甲方指定</w:t>
      </w:r>
      <w:r>
        <w:rPr>
          <w:rFonts w:hint="eastAsia" w:ascii="仿宋_GB2312" w:eastAsia="仿宋_GB2312"/>
          <w:sz w:val="24"/>
          <w:u w:val="single"/>
        </w:rPr>
        <w:t xml:space="preserve"> {{contact}}  </w:t>
      </w:r>
      <w:r>
        <w:rPr>
          <w:rFonts w:hint="eastAsia" w:ascii="仿宋_GB2312" w:eastAsia="仿宋_GB2312"/>
          <w:sz w:val="24"/>
        </w:rPr>
        <w:t>为甲方项目联系人，乙方指定</w:t>
      </w:r>
      <w:r>
        <w:rPr>
          <w:rFonts w:hint="eastAsia" w:ascii="仿宋_GB2312" w:eastAsia="仿宋_GB2312"/>
          <w:sz w:val="24"/>
          <w:u w:val="single"/>
        </w:rPr>
        <w:t xml:space="preserve"> {{salesmen}} </w:t>
      </w:r>
      <w:r>
        <w:rPr>
          <w:rFonts w:hint="eastAsia" w:ascii="仿宋_GB2312" w:eastAsia="仿宋_GB2312"/>
          <w:sz w:val="24"/>
        </w:rPr>
        <w:t>为乙方项目联系人。</w:t>
      </w:r>
    </w:p>
    <w:p>
      <w:pPr>
        <w:spacing w:line="440" w:lineRule="exact"/>
        <w:ind w:left="424" w:leftChars="202" w:firstLine="482" w:firstLineChars="200"/>
        <w:rPr>
          <w:rFonts w:ascii="仿宋_GB2312" w:eastAsia="仿宋_GB2312"/>
          <w:sz w:val="24"/>
        </w:rPr>
      </w:pPr>
      <w:r>
        <w:rPr>
          <w:rFonts w:hint="eastAsia" w:ascii="黑体" w:hAnsi="宋体" w:eastAsia="黑体"/>
          <w:b/>
          <w:sz w:val="24"/>
        </w:rPr>
        <w:t>第九条</w:t>
      </w:r>
      <w:r>
        <w:rPr>
          <w:rFonts w:hint="eastAsia" w:ascii="仿宋_GB2312" w:hAnsi="宋体" w:eastAsia="仿宋_GB2312"/>
          <w:b/>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乙方 </w:t>
      </w:r>
      <w:r>
        <w:rPr>
          <w:rFonts w:hint="eastAsia" w:ascii="仿宋_GB2312" w:eastAsia="仿宋_GB2312"/>
          <w:sz w:val="24"/>
        </w:rPr>
        <w:t>所在地人民法院起诉。</w:t>
      </w:r>
    </w:p>
    <w:p>
      <w:pPr>
        <w:spacing w:line="440" w:lineRule="exact"/>
        <w:ind w:left="424" w:leftChars="202" w:firstLine="482" w:firstLineChars="200"/>
        <w:rPr>
          <w:rFonts w:ascii="仿宋_GB2312" w:hAnsi="宋体" w:eastAsia="仿宋_GB2312"/>
          <w:sz w:val="24"/>
        </w:rPr>
      </w:pPr>
      <w:r>
        <w:rPr>
          <w:rFonts w:hint="eastAsia" w:ascii="黑体" w:hAnsi="宋体" w:eastAsia="黑体"/>
          <w:b/>
          <w:sz w:val="24"/>
        </w:rPr>
        <w:t>第十条</w:t>
      </w:r>
      <w:r>
        <w:rPr>
          <w:rFonts w:hint="eastAsia" w:ascii="黑体" w:eastAsia="黑体"/>
          <w:b/>
          <w:sz w:val="24"/>
        </w:rPr>
        <w:t xml:space="preserve"> </w:t>
      </w:r>
      <w:r>
        <w:rPr>
          <w:rFonts w:hint="eastAsia" w:ascii="仿宋_GB2312" w:hAnsi="宋体" w:eastAsia="仿宋_GB2312"/>
          <w:sz w:val="24"/>
        </w:rPr>
        <w:t>本合同一式</w:t>
      </w:r>
      <w:r>
        <w:rPr>
          <w:rFonts w:hint="eastAsia" w:ascii="仿宋_GB2312" w:hAnsi="宋体" w:eastAsia="仿宋_GB2312"/>
          <w:b/>
          <w:sz w:val="24"/>
          <w:u w:val="single"/>
        </w:rPr>
        <w:t>贰</w:t>
      </w:r>
      <w:r>
        <w:rPr>
          <w:rFonts w:hint="eastAsia" w:ascii="仿宋_GB2312" w:hAnsi="宋体" w:eastAsia="仿宋_GB2312"/>
          <w:sz w:val="24"/>
        </w:rPr>
        <w:t>份，经双方签字盖章后生效，甲乙双方各执壹份，具有同等法律效力</w:t>
      </w:r>
      <w:r>
        <w:rPr>
          <w:rFonts w:hint="eastAsia" w:ascii="楷体_GB2312" w:eastAsia="楷体_GB2312"/>
          <w:sz w:val="24"/>
        </w:rPr>
        <w:t>。</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甲方：</w:t>
      </w:r>
      <w:r>
        <w:rPr>
          <w:rFonts w:hint="eastAsia" w:ascii="仿宋_GB2312" w:eastAsia="仿宋_GB2312"/>
          <w:sz w:val="24"/>
          <w:u w:val="single"/>
        </w:rPr>
        <w:t xml:space="preserve">    {{entrustCompany}}     </w:t>
      </w:r>
      <w:r>
        <w:rPr>
          <w:rFonts w:hint="eastAsia" w:ascii="仿宋_GB2312" w:eastAsia="仿宋_GB2312"/>
          <w:sz w:val="24"/>
        </w:rPr>
        <w:t>（盖章）</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法定代表人/委托代理人：</w:t>
      </w:r>
      <w:r>
        <w:rPr>
          <w:rFonts w:hint="eastAsia" w:ascii="仿宋_GB2312" w:eastAsia="仿宋_GB2312"/>
          <w:sz w:val="24"/>
          <w:u w:val="single"/>
        </w:rPr>
        <w:t xml:space="preserve">                 </w:t>
      </w:r>
      <w:r>
        <w:rPr>
          <w:rFonts w:hint="eastAsia" w:ascii="仿宋_GB2312" w:eastAsia="仿宋_GB2312"/>
          <w:sz w:val="24"/>
        </w:rPr>
        <w:t>（签名）</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 xml:space="preserve">                               年   月   日</w:t>
      </w:r>
    </w:p>
    <w:p>
      <w:pPr>
        <w:adjustRightInd w:val="0"/>
        <w:snapToGrid w:val="0"/>
        <w:spacing w:line="440" w:lineRule="exact"/>
        <w:ind w:left="424" w:leftChars="202" w:firstLine="480" w:firstLineChars="200"/>
        <w:rPr>
          <w:rFonts w:ascii="仿宋_GB2312" w:eastAsia="仿宋_GB2312"/>
          <w:sz w:val="24"/>
        </w:rPr>
      </w:pP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乙方：</w:t>
      </w:r>
      <w:r>
        <w:rPr>
          <w:rFonts w:hint="eastAsia" w:ascii="仿宋_GB2312" w:eastAsia="仿宋_GB2312"/>
          <w:sz w:val="24"/>
          <w:u w:val="single"/>
        </w:rPr>
        <w:t xml:space="preserve">浙江安联检测技术服务有限公司  </w:t>
      </w:r>
      <w:r>
        <w:rPr>
          <w:rFonts w:hint="eastAsia" w:ascii="仿宋_GB2312" w:eastAsia="仿宋_GB2312"/>
          <w:sz w:val="24"/>
        </w:rPr>
        <w:t>（盖章）</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法定代表人/委托代理人：</w:t>
      </w:r>
      <w:r>
        <w:rPr>
          <w:rFonts w:hint="eastAsia" w:ascii="仿宋_GB2312" w:eastAsia="仿宋_GB2312"/>
          <w:sz w:val="24"/>
          <w:u w:val="single"/>
        </w:rPr>
        <w:t xml:space="preserve">                 </w:t>
      </w:r>
      <w:r>
        <w:rPr>
          <w:rFonts w:hint="eastAsia" w:ascii="仿宋_GB2312" w:eastAsia="仿宋_GB2312"/>
          <w:sz w:val="24"/>
        </w:rPr>
        <w:t>（签名）</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 xml:space="preserve">                              年   月    日</w:t>
      </w: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763017" o:spid="_x0000_s3074"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14-03-2</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w:t>
    </w:r>
    <w:r>
      <w:rPr>
        <w:rFonts w:ascii="Times New Roman" w:hAnsi="Times New Roman"/>
        <w:color w:val="000000" w:themeColor="text1"/>
        <w:sz w:val="21"/>
        <w:szCs w:val="21"/>
        <w14:textFill>
          <w14:solidFill>
            <w14:schemeClr w14:val="tx1"/>
          </w14:solidFill>
        </w14:textFill>
      </w:rPr>
      <w:t>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63016" o:spid="_x0000_s3075"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63015" o:spid="_x0000_s3073"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763020" o:spid="_x0000_s3077"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14-03-2</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5</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63019" o:spid="_x0000_s3078"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63018" o:spid="_x0000_s3076"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D62E05"/>
    <w:rsid w:val="00004F86"/>
    <w:rsid w:val="000207D5"/>
    <w:rsid w:val="000547A5"/>
    <w:rsid w:val="000809AE"/>
    <w:rsid w:val="00086FA8"/>
    <w:rsid w:val="000909AE"/>
    <w:rsid w:val="0009118B"/>
    <w:rsid w:val="000D0C41"/>
    <w:rsid w:val="000E576A"/>
    <w:rsid w:val="000E713C"/>
    <w:rsid w:val="000E7ECD"/>
    <w:rsid w:val="000F6C6B"/>
    <w:rsid w:val="00100753"/>
    <w:rsid w:val="001472EB"/>
    <w:rsid w:val="001910E5"/>
    <w:rsid w:val="001C482F"/>
    <w:rsid w:val="001F5F63"/>
    <w:rsid w:val="0020088A"/>
    <w:rsid w:val="0024485C"/>
    <w:rsid w:val="002738C4"/>
    <w:rsid w:val="002964D0"/>
    <w:rsid w:val="00304CCF"/>
    <w:rsid w:val="003321C7"/>
    <w:rsid w:val="00367DC0"/>
    <w:rsid w:val="00392451"/>
    <w:rsid w:val="003D6C00"/>
    <w:rsid w:val="003E6F1F"/>
    <w:rsid w:val="004140E7"/>
    <w:rsid w:val="00471700"/>
    <w:rsid w:val="00491E39"/>
    <w:rsid w:val="004D1C37"/>
    <w:rsid w:val="004F3FA6"/>
    <w:rsid w:val="004F5496"/>
    <w:rsid w:val="005014B1"/>
    <w:rsid w:val="005139CE"/>
    <w:rsid w:val="005249AE"/>
    <w:rsid w:val="0055075C"/>
    <w:rsid w:val="00566C17"/>
    <w:rsid w:val="005731DB"/>
    <w:rsid w:val="005D2811"/>
    <w:rsid w:val="00603F38"/>
    <w:rsid w:val="00622E2C"/>
    <w:rsid w:val="006347F1"/>
    <w:rsid w:val="00670CD8"/>
    <w:rsid w:val="006756D6"/>
    <w:rsid w:val="0067732C"/>
    <w:rsid w:val="00682AC3"/>
    <w:rsid w:val="006863CE"/>
    <w:rsid w:val="006B300D"/>
    <w:rsid w:val="006B66FA"/>
    <w:rsid w:val="006D4D65"/>
    <w:rsid w:val="007B0E87"/>
    <w:rsid w:val="007D137B"/>
    <w:rsid w:val="007D4D8D"/>
    <w:rsid w:val="007D6D9C"/>
    <w:rsid w:val="007E7227"/>
    <w:rsid w:val="007F1639"/>
    <w:rsid w:val="00816B31"/>
    <w:rsid w:val="00836DEF"/>
    <w:rsid w:val="00844E71"/>
    <w:rsid w:val="00847FCF"/>
    <w:rsid w:val="00885D0C"/>
    <w:rsid w:val="008C66B3"/>
    <w:rsid w:val="00917334"/>
    <w:rsid w:val="00922B4D"/>
    <w:rsid w:val="00950C8F"/>
    <w:rsid w:val="00960005"/>
    <w:rsid w:val="00972CDC"/>
    <w:rsid w:val="009859C8"/>
    <w:rsid w:val="009927ED"/>
    <w:rsid w:val="00997354"/>
    <w:rsid w:val="009C4E2F"/>
    <w:rsid w:val="009C5BC1"/>
    <w:rsid w:val="009F2ADB"/>
    <w:rsid w:val="009F42C0"/>
    <w:rsid w:val="00A0322C"/>
    <w:rsid w:val="00A10ADB"/>
    <w:rsid w:val="00A33F9C"/>
    <w:rsid w:val="00A357D8"/>
    <w:rsid w:val="00A373E2"/>
    <w:rsid w:val="00A414EF"/>
    <w:rsid w:val="00A44428"/>
    <w:rsid w:val="00A45EBE"/>
    <w:rsid w:val="00A538BC"/>
    <w:rsid w:val="00A81488"/>
    <w:rsid w:val="00A976AA"/>
    <w:rsid w:val="00AB2830"/>
    <w:rsid w:val="00AC3AA4"/>
    <w:rsid w:val="00AF586C"/>
    <w:rsid w:val="00B2662A"/>
    <w:rsid w:val="00B7303D"/>
    <w:rsid w:val="00BA1DA1"/>
    <w:rsid w:val="00BB4CA5"/>
    <w:rsid w:val="00BC676F"/>
    <w:rsid w:val="00BE2516"/>
    <w:rsid w:val="00C00E3A"/>
    <w:rsid w:val="00C2221D"/>
    <w:rsid w:val="00CA43C8"/>
    <w:rsid w:val="00CA7C7D"/>
    <w:rsid w:val="00CB043E"/>
    <w:rsid w:val="00CB0A65"/>
    <w:rsid w:val="00CB3863"/>
    <w:rsid w:val="00CE071E"/>
    <w:rsid w:val="00D1402B"/>
    <w:rsid w:val="00D40AAA"/>
    <w:rsid w:val="00D62E05"/>
    <w:rsid w:val="00D83A84"/>
    <w:rsid w:val="00DA1059"/>
    <w:rsid w:val="00DD7EE1"/>
    <w:rsid w:val="00E50021"/>
    <w:rsid w:val="00E654B0"/>
    <w:rsid w:val="00EB63D2"/>
    <w:rsid w:val="00ED2ABB"/>
    <w:rsid w:val="00EE1092"/>
    <w:rsid w:val="00F055F5"/>
    <w:rsid w:val="00F304A7"/>
    <w:rsid w:val="00F31B87"/>
    <w:rsid w:val="00F47B94"/>
    <w:rsid w:val="00FC54C2"/>
    <w:rsid w:val="00FD21E6"/>
    <w:rsid w:val="00FD7B88"/>
    <w:rsid w:val="00FE41C2"/>
    <w:rsid w:val="00FF1C21"/>
    <w:rsid w:val="00FF3600"/>
    <w:rsid w:val="04AF1433"/>
    <w:rsid w:val="0B9E4610"/>
    <w:rsid w:val="26DC2527"/>
    <w:rsid w:val="31A445D3"/>
    <w:rsid w:val="3AC76208"/>
    <w:rsid w:val="48FB643C"/>
    <w:rsid w:val="5E217858"/>
    <w:rsid w:val="79AB318D"/>
    <w:rsid w:val="7D5E0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ody Text Indent"/>
    <w:basedOn w:val="1"/>
    <w:link w:val="10"/>
    <w:unhideWhenUsed/>
    <w:qFormat/>
    <w:uiPriority w:val="99"/>
    <w:pPr>
      <w:spacing w:after="120"/>
      <w:ind w:left="420" w:leftChars="200"/>
    </w:pPr>
    <w:rPr>
      <w:rFonts w:ascii="Times New Roman" w:hAnsi="Times New Roman"/>
      <w:szCs w:val="20"/>
    </w:rPr>
  </w:style>
  <w:style w:type="paragraph" w:styleId="4">
    <w:name w:val="Balloon Text"/>
    <w:basedOn w:val="1"/>
    <w:link w:val="16"/>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unhideWhenUsed/>
    <w:qFormat/>
    <w:uiPriority w:val="99"/>
    <w:rPr>
      <w:sz w:val="21"/>
      <w:szCs w:val="21"/>
    </w:rPr>
  </w:style>
  <w:style w:type="character" w:customStyle="1" w:styleId="10">
    <w:name w:val="正文文本缩进 Char1"/>
    <w:link w:val="3"/>
    <w:qFormat/>
    <w:uiPriority w:val="99"/>
    <w:rPr>
      <w:rFonts w:ascii="Times New Roman" w:hAnsi="Times New Roman" w:eastAsia="宋体" w:cs="Times New Roman"/>
      <w:szCs w:val="20"/>
    </w:rPr>
  </w:style>
  <w:style w:type="character" w:customStyle="1" w:styleId="11">
    <w:name w:val="正文文本缩进 Char"/>
    <w:basedOn w:val="8"/>
    <w:semiHidden/>
    <w:qFormat/>
    <w:uiPriority w:val="99"/>
    <w:rPr>
      <w:rFonts w:ascii="Calibri" w:hAnsi="Calibri" w:eastAsia="宋体" w:cs="Times New Roman"/>
    </w:rPr>
  </w:style>
  <w:style w:type="paragraph" w:customStyle="1" w:styleId="12">
    <w:name w:val="1"/>
    <w:basedOn w:val="1"/>
    <w:next w:val="3"/>
    <w:qFormat/>
    <w:uiPriority w:val="0"/>
    <w:pPr>
      <w:adjustRightInd w:val="0"/>
      <w:snapToGrid w:val="0"/>
      <w:ind w:firstLine="560" w:firstLineChars="200"/>
    </w:pPr>
    <w:rPr>
      <w:rFonts w:ascii="宋体" w:hAnsi="宋体"/>
      <w:sz w:val="28"/>
      <w:szCs w:val="24"/>
    </w:rPr>
  </w:style>
  <w:style w:type="character" w:customStyle="1" w:styleId="13">
    <w:name w:val="页眉 Char"/>
    <w:basedOn w:val="8"/>
    <w:link w:val="6"/>
    <w:qFormat/>
    <w:uiPriority w:val="99"/>
    <w:rPr>
      <w:rFonts w:ascii="Calibri" w:hAnsi="Calibri" w:eastAsia="宋体" w:cs="Times New Roman"/>
      <w:sz w:val="18"/>
      <w:szCs w:val="18"/>
    </w:rPr>
  </w:style>
  <w:style w:type="character" w:customStyle="1" w:styleId="14">
    <w:name w:val="页脚 Char"/>
    <w:basedOn w:val="8"/>
    <w:link w:val="5"/>
    <w:qFormat/>
    <w:uiPriority w:val="99"/>
    <w:rPr>
      <w:rFonts w:ascii="Calibri" w:hAnsi="Calibri" w:eastAsia="宋体" w:cs="Times New Roman"/>
      <w:sz w:val="18"/>
      <w:szCs w:val="18"/>
    </w:rPr>
  </w:style>
  <w:style w:type="character" w:customStyle="1" w:styleId="15">
    <w:name w:val="页眉 Char1"/>
    <w:semiHidden/>
    <w:qFormat/>
    <w:uiPriority w:val="99"/>
    <w:rPr>
      <w:sz w:val="18"/>
      <w:szCs w:val="18"/>
    </w:rPr>
  </w:style>
  <w:style w:type="character" w:customStyle="1" w:styleId="16">
    <w:name w:val="批注框文本 Char"/>
    <w:basedOn w:val="8"/>
    <w:link w:val="4"/>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Info spid="_x0000_s3077"/>
    <customShpInfo spid="_x0000_s3078"/>
    <customShpInfo spid="_x0000_s3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579</Words>
  <Characters>3305</Characters>
  <Lines>27</Lines>
  <Paragraphs>7</Paragraphs>
  <TotalTime>12</TotalTime>
  <ScaleCrop>false</ScaleCrop>
  <LinksUpToDate>false</LinksUpToDate>
  <CharactersWithSpaces>3877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2017-07-04T02:39:00Z</dcterms:created>
  <dc:creator>SSD</dc:creator>
  <cp:lastModifiedBy>blank</cp:lastModifiedBy>
  <dcterms:modified xsi:type="dcterms:W3CDTF">2023-07-14T00:38:27Z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3022F28ED75F4BF29092F57DA38C5CFA</vt:lpwstr>
  </property>
</Properties>
</file>