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Helvetica Neue" w:hAnsi="Helvetica Neue" w:eastAsia="Microsoft YaHei"/>
        </w:rPr>
        <w:drawing>
          <wp:inline>
            <wp:extent cx="6038850" cy="2913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04ac70-c26b-4670-ad5f-f4eecf5f3bb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9130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Helvetica Neue" w:hAnsi="Helvetica Neue" w:eastAsia="Microsoft YaHei"/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rPr>
          <w:rFonts w:ascii="Helvetica Neue" w:hAnsi="Helvetica Neue" w:eastAsia="Microsoft YaHei"/>
        </w:rPr>
        <w:t>调研模式前端框架重构计划书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rFonts w:ascii="Helvetica Neue" w:hAnsi="Helvetica Neue" w:eastAsia="Microsoft YaHei"/>
              </w:rPr>
              <w:t>保持现有调研链路不变，构建独立双栏研究工作区与双报告阅读体验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Fonts w:ascii="Helvetica Neue" w:hAnsi="Helvetica Neue" w:eastAsia="Microsoft YaHei"/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rFonts w:ascii="Helvetica Neue" w:hAnsi="Helvetica Neue" w:eastAsia="Microsoft YaHei"/>
              </w:rPr>
              <w:t>基于现有代码与参考 UI 分析</w:t>
              <w:br/>
              <w:t>2026 年 8 月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Fonts w:ascii="Helvetica Neue" w:hAnsi="Helvetica Neue" w:eastAsia="Microsoft YaHei"/>
          <w:rtl w:val="0"/>
        </w:rPr>
      </w:r>
    </w:p>
    <w:p>
      <w:pPr>
        <w:pStyle w:val="Heading1"/>
      </w:pPr>
      <w:r>
        <w:rPr>
          <w:rFonts w:ascii="Helvetica Neue" w:hAnsi="Helvetica Neue" w:eastAsia="Microsoft YaHei"/>
        </w:rPr>
        <w:t>执行摘要</w:t>
      </w:r>
    </w:p>
    <w:p>
      <w:r>
        <w:rPr>
          <w:rFonts w:ascii="Helvetica Neue" w:hAnsi="Helvetica Neue" w:eastAsia="Microsoft YaHei"/>
        </w:rPr>
        <w:t>本次重构应被定义为一次前端壳层与报告呈现层升级，而不是调研能力重写。现有 /deep_research 请求、三类调研引擎、SSE 事件顺序、NodeProgressPanel 链路翻译、千问反问确认、消息级来源绑定与会话持久化全部保持不变。前端新增独立 ResearchWorkspace：左侧完整承载当前对话流和调研链路，右侧承载“深度研报”和“文本报告”两个互不丢失状态的报告视图。</w:t>
      </w:r>
    </w:p>
    <w:p>
      <w:r>
        <w:rPr>
          <w:rFonts w:ascii="Helvetica Neue" w:hAnsi="Helvetica Neue" w:eastAsia="Microsoft YaHei"/>
        </w:rPr>
        <w:t>AI 写作模式提供可复用的设计经验——独立全屏工作区、可拖拽双栏、右侧文档标题栏、复制/下载/全屏动作、Tiptap 编辑器与 Word 导出——但调研模式不得直接挂载 WritingWorkspace 或共享其业务状态。建议只抽取无业务含义的底层原语，或在 research feature 内实现等价组件，以避免写作与调研互相污染。</w:t>
      </w:r>
    </w:p>
    <w:p>
      <w:pPr>
        <w:pStyle w:val="Heading2"/>
      </w:pPr>
      <w:r>
        <w:rPr>
          <w:rFonts w:ascii="Helvetica Neue" w:hAnsi="Helvetica Neue" w:eastAsia="Microsoft YaHei"/>
        </w:rPr>
        <w:t>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4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现状判断</w:t>
            </w:r>
          </w:p>
        </w:tc>
        <w:tc>
          <w:tcPr>
            <w:tcW w:type="dxa" w:w="426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目标决策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调研链路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已覆盖 Firecrawl、自研、千问原生及 Agent Loop 事件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冻结 API 与事件契约，只接入新的视图适配层</w:t>
            </w:r>
          </w:p>
        </w:tc>
      </w:tr>
      <w:tr>
        <w:tc>
          <w:tcPr>
            <w:tcW w:type="dxa" w:w="17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页面框架</w:t>
            </w:r>
          </w:p>
        </w:tc>
        <w:tc>
          <w:tcPr>
            <w:tcW w:type="dxa" w:w="34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调研仍位于通用 ChatInterface 单栏消息流</w:t>
            </w:r>
          </w:p>
        </w:tc>
        <w:tc>
          <w:tcPr>
            <w:tcW w:type="dxa" w:w="42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新增独立 ResearchWorkspace 双栏工作区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左侧区域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消息、节点、来源、反问卡片分散在通用聊天渲染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完整迁移现有调研对话视图，不省略任何链路</w:t>
            </w:r>
          </w:p>
        </w:tc>
      </w:tr>
      <w:tr>
        <w:tc>
          <w:tcPr>
            <w:tcW w:type="dxa" w:w="17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右侧区域</w:t>
            </w:r>
          </w:p>
        </w:tc>
        <w:tc>
          <w:tcPr>
            <w:tcW w:type="dxa" w:w="34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最终 report 仅作为 Markdown 气泡展示</w:t>
            </w:r>
          </w:p>
        </w:tc>
        <w:tc>
          <w:tcPr>
            <w:tcW w:type="dxa" w:w="42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双标签：深度研报 / 文本报告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文档能力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已有 Tiptap、Word 导出、复制/下载/全屏经验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research 专属编辑器、导出器和动作栏</w:t>
            </w:r>
          </w:p>
        </w:tc>
      </w:tr>
    </w:tbl>
    <w:p/>
    <w:p>
      <w:pPr>
        <w:pStyle w:val="Heading1"/>
      </w:pPr>
      <w:r>
        <w:rPr>
          <w:rFonts w:ascii="Helvetica Neue" w:hAnsi="Helvetica Neue" w:eastAsia="Microsoft YaHei"/>
        </w:rPr>
        <w:t>关键发现</w:t>
      </w:r>
    </w:p>
    <w:p>
      <w:pPr>
        <w:pStyle w:val="Heading2"/>
      </w:pPr>
      <w:r>
        <w:rPr>
          <w:rFonts w:ascii="Helvetica Neue" w:hAnsi="Helvetica Neue" w:eastAsia="Microsoft YaHei"/>
        </w:rPr>
        <w:t>1. 当前调研模式框架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  <w:b/>
        </w:rPr>
        <w:t>入口与状态集中在 ChatInterface.tsx：</w:t>
      </w:r>
      <w:r>
        <w:rPr>
          <w:rFonts w:ascii="Helvetica Neue" w:hAnsi="Helvetica Neue" w:eastAsia="Microsoft YaHei"/>
        </w:rPr>
        <w:t>mode='research'、researchEngine、researchOptions、researchChunks、researchProgress、消息与会话恢复均由同一大型组件管理。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  <w:b/>
        </w:rPr>
        <w:t>请求契约位于 lib/api.ts：</w:t>
      </w:r>
      <w:r>
        <w:rPr>
          <w:rFonts w:ascii="Helvetica Neue" w:hAnsi="Helvetica Neue" w:eastAsia="Microsoft YaHei"/>
        </w:rPr>
        <w:t>sendDeepResearch 固定调用 POST /deep_research，并把 research_process 翻译为 NodeEvent；最终通过 onResearchReasonDone 与 onResearchDone 接收 report、reasoning、top_chunks 等数据。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  <w:b/>
        </w:rPr>
        <w:t>链路可视化已统一到 NodeProgressPanel：</w:t>
      </w:r>
      <w:r>
        <w:rPr>
          <w:rFonts w:ascii="Helvetica Neue" w:hAnsi="Helvetica Neue" w:eastAsia="Microsoft YaHei"/>
        </w:rPr>
        <w:t>每条 assistant 消息保留独立 nodeProgress、webDocs、researchChunks，支持多轮历史恢复；这是必须原样保留的核心交互资产。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  <w:b/>
        </w:rPr>
        <w:t>最终报告仍通过 MarkdownMessage 渲染在消息气泡中，</w:t>
      </w:r>
      <w:r>
        <w:rPr>
          <w:rFonts w:ascii="Helvetica Neue" w:hAnsi="Helvetica Neue" w:eastAsia="Microsoft YaHei"/>
        </w:rPr>
        <w:t>宽度、层级、文档操作和长文阅读体验不足，无法承载参考图所示的专业研报。</w:t>
      </w:r>
    </w:p>
    <w:p>
      <w:pPr>
        <w:pStyle w:val="Heading2"/>
      </w:pPr>
      <w:r>
        <w:rPr>
          <w:rFonts w:ascii="Helvetica Neue" w:hAnsi="Helvetica Neue" w:eastAsia="Microsoft YaHei"/>
        </w:rPr>
        <w:t>2. AI 写作模式可借鉴的框架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WritingWorkspace 已采用独立 fixed 工作区，不受通用聊天内容宽度限制。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工作区使用“左对话 / 分隔条 / 右文档”的网格，左栏比例可在 30%—65% 之间调整。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右侧标题栏已形成标签切换、复制、下载、全屏和文件清单的成熟交互。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WritingDocumentEditor 已接入 Tiptap StarterKit 与 Underline；WritingLayoutWorkspace 具备固定纸张、缩放、分页、模板与 PDF/Word 输出经验。</w:t>
      </w:r>
    </w:p>
    <w:p>
      <w:r>
        <w:rPr>
          <w:rFonts w:ascii="Helvetica Neue" w:hAnsi="Helvetica Neue" w:eastAsia="Microsoft YaHei"/>
          <w:b/>
        </w:rPr>
        <w:t>关键约束。</w:t>
      </w:r>
      <w:r>
        <w:rPr>
          <w:rFonts w:ascii="Helvetica Neue" w:hAnsi="Helvetica Neue" w:eastAsia="Microsoft YaHei"/>
        </w:rPr>
        <w:t>可借鉴的是页面骨架、交互规则和无业务依赖的视觉原语，不可直接共用 WritingWorkspace、writingDoc、写作时间线或写作导出业务。调研必须有自己的 feature 边界、类型、reducer、持久化字段和报告导出器。</w:t>
      </w:r>
    </w:p>
    <w:p>
      <w:pPr>
        <w:pStyle w:val="Heading2"/>
      </w:pPr>
      <w:r>
        <w:rPr>
          <w:rFonts w:ascii="Helvetica Neue" w:hAnsi="Helvetica Neue" w:eastAsia="Microsoft YaHei"/>
        </w:rPr>
        <w:t>3. 参考 UI 的视觉与交互语言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大面积白色画布、极弱边界、轻阴影与 8—16 px 圆角，整体克制而非卡片堆叠。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左右约 1:1 起始比例，分栏边界清晰；两侧各自滚动，右侧标题栏常驻。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右侧顶部居中双标签，右上角以图标为主的复制、下载、全屏/放大按钮。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深度研报具有封面式标题、元数据、核心摘要深色卡片、章节层级、总结表格和数据图表；文本报告保持规整 Markdown 排版但不额外生成图表。</w:t>
      </w:r>
    </w:p>
    <w:p>
      <w:pPr>
        <w:pStyle w:val="Heading1"/>
      </w:pPr>
      <w:r>
        <w:rPr>
          <w:rFonts w:ascii="Helvetica Neue" w:hAnsi="Helvetica Neue" w:eastAsia="Microsoft YaHei"/>
        </w:rPr>
        <w:t>影响与目标框架</w:t>
      </w:r>
    </w:p>
    <w:p>
      <w:pPr>
        <w:pStyle w:val="Heading2"/>
      </w:pPr>
      <w:r>
        <w:rPr>
          <w:rFonts w:ascii="Helvetica Neue" w:hAnsi="Helvetica Neue" w:eastAsia="Microsoft YaHei"/>
        </w:rPr>
        <w:t>目标信息架构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3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96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明确不做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ResearchWorkspace 壳</w:t>
            </w:r>
          </w:p>
        </w:tc>
        <w:tc>
          <w:tcPr>
            <w:tcW w:type="dxa" w:w="43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独立全屏层、双栏布局、分隔条、焦点和滚动管理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不挂载 WritingWorkspace，不读取 writingDoc</w:t>
            </w:r>
          </w:p>
        </w:tc>
      </w:tr>
      <w:tr>
        <w:tc>
          <w:tcPr>
            <w:tcW w:type="dxa" w:w="21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左侧 ResearchConversationPane</w:t>
            </w:r>
          </w:p>
        </w:tc>
        <w:tc>
          <w:tcPr>
            <w:tcW w:type="dxa" w:w="43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完整对话、NodeProgressPanel、来源、反问确认、输入器和引擎选项</w:t>
            </w:r>
          </w:p>
        </w:tc>
        <w:tc>
          <w:tcPr>
            <w:tcW w:type="dxa" w:w="29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不删减现有事件、不合并多轮状态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右侧 ResearchReportPane</w:t>
            </w:r>
          </w:p>
        </w:tc>
        <w:tc>
          <w:tcPr>
            <w:tcW w:type="dxa" w:w="43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标题、双标签、操作栏、加载/空/错误态、文档滚动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不参与调研请求调度</w:t>
            </w:r>
          </w:p>
        </w:tc>
      </w:tr>
      <w:tr>
        <w:tc>
          <w:tcPr>
            <w:tcW w:type="dxa" w:w="21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深度研报</w:t>
            </w:r>
          </w:p>
        </w:tc>
        <w:tc>
          <w:tcPr>
            <w:tcW w:type="dxa" w:w="43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结构化文档、摘要表、证据表、可验证图表、Tiptap/只读排版、Word/PDF</w:t>
            </w:r>
          </w:p>
        </w:tc>
        <w:tc>
          <w:tcPr>
            <w:tcW w:type="dxa" w:w="29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无数据时不编造图表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文本报告</w:t>
            </w:r>
          </w:p>
        </w:tc>
        <w:tc>
          <w:tcPr>
            <w:tcW w:type="dxa" w:w="43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原始模型 report 的规范 Markdown/GFM 阅读与复制下载</w:t>
            </w:r>
          </w:p>
        </w:tc>
        <w:tc>
          <w:tcPr>
            <w:tcW w:type="dxa" w:w="29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不注入深度研报的总结或图表</w:t>
            </w:r>
          </w:p>
        </w:tc>
      </w:tr>
    </w:tbl>
    <w:p/>
    <w:p>
      <w:pPr>
        <w:pStyle w:val="Heading2"/>
      </w:pPr>
      <w:r>
        <w:rPr>
          <w:rFonts w:ascii="Helvetica Neue" w:hAnsi="Helvetica Neue" w:eastAsia="Microsoft YaHei"/>
        </w:rPr>
        <w:t>建议组件边界</w:t>
      </w:r>
    </w:p>
    <w:p>
      <w:r>
        <w:rPr>
          <w:rFonts w:ascii="Helvetica Neue" w:hAnsi="Helvetica Neue" w:eastAsia="Microsoft YaHei"/>
        </w:rPr>
        <w:t>建议在 frontend/ai-agent/src/features/deep-research/ 下新建完整功能域：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ResearchWorkspace.tsx — 独立工作区入口与三栏网格（左栏、分隔条、右栏）。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researchWorkspaceTypes.ts / researchWorkspaceReducer.ts — 只管理 UI 与报告派生状态。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conversation/ResearchConversationPane.tsx — 从当前聊天渲染中抽出调研专属视图。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report/ResearchReportPane.tsx — 标题栏、标签、加载和错误边界。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report/DeepResearchDocument.tsx — Tiptap 文档或结构化只读渲染器。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report/RawResearchReport.tsx — 原始 report 的规范 Markdown 渲染器。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report/researchReportAdapter.ts — 将 report、top_chunks、pages 转换为安全的展示模型。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report/ResearchChart.tsx / ResearchSummaryTable.tsx — 仅消费可追溯结构化数据。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export/researchWordExport.ts / researchDownload.ts — research 专属 Word、PDF、Markdown、TXT 导出。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components/ResearchReportActions.tsx — 复制、下载、全屏及反馈状态。</w:t>
      </w:r>
    </w:p>
    <w:p>
      <w:pPr>
        <w:pStyle w:val="Heading2"/>
      </w:pPr>
      <w:r>
        <w:rPr>
          <w:rFonts w:ascii="Helvetica Neue" w:hAnsi="Helvetica Neue" w:eastAsia="Microsoft YaHei"/>
        </w:rPr>
        <w:t>数据流：保持调研链路不变</w:t>
      </w:r>
    </w:p>
    <w:p>
      <w:pPr>
        <w:numPr>
          <w:ilvl w:val="0"/>
          <w:numId w:val="2"/>
        </w:numPr>
      </w:pPr>
      <w:r>
        <w:rPr>
          <w:rFonts w:ascii="Helvetica Neue" w:hAnsi="Helvetica Neue" w:eastAsia="Microsoft YaHei"/>
        </w:rPr>
        <w:t>ChatInterface 仍负责会话选择、mode 切换和既有 sendDeepResearch 调用。</w:t>
      </w:r>
    </w:p>
    <w:p>
      <w:pPr>
        <w:numPr>
          <w:ilvl w:val="0"/>
          <w:numId w:val="2"/>
        </w:numPr>
      </w:pPr>
      <w:r>
        <w:rPr>
          <w:rFonts w:ascii="Helvetica Neue" w:hAnsi="Helvetica Neue" w:eastAsia="Microsoft YaHei"/>
        </w:rPr>
        <w:t>所有 onResearchProcess/onNode/onQwenFeedback/onResearchReasonDone/onResearchDone 回调与当前顺序保持不变。</w:t>
      </w:r>
    </w:p>
    <w:p>
      <w:pPr>
        <w:numPr>
          <w:ilvl w:val="0"/>
          <w:numId w:val="2"/>
        </w:numPr>
      </w:pPr>
      <w:r>
        <w:rPr>
          <w:rFonts w:ascii="Helvetica Neue" w:hAnsi="Helvetica Neue" w:eastAsia="Microsoft YaHei"/>
        </w:rPr>
        <w:t>ResearchWorkspace 通过明确 props 或 research view-model 接收 messages、nodeProgress、researchChunks、report 与操作回调。</w:t>
      </w:r>
    </w:p>
    <w:p>
      <w:pPr>
        <w:numPr>
          <w:ilvl w:val="0"/>
          <w:numId w:val="2"/>
        </w:numPr>
      </w:pPr>
      <w:r>
        <w:rPr>
          <w:rFonts w:ascii="Helvetica Neue" w:hAnsi="Helvetica Neue" w:eastAsia="Microsoft YaHei"/>
        </w:rPr>
        <w:t>researchReportAdapter 在前端派生 deepReportDocument；rawReport 始终保存原始 report 字符串。</w:t>
      </w:r>
    </w:p>
    <w:p>
      <w:pPr>
        <w:numPr>
          <w:ilvl w:val="0"/>
          <w:numId w:val="2"/>
        </w:numPr>
      </w:pPr>
      <w:r>
        <w:rPr>
          <w:rFonts w:ascii="Helvetica Neue" w:hAnsi="Helvetica Neue" w:eastAsia="Microsoft YaHei"/>
        </w:rPr>
        <w:t>会话快照新增可选 researchWorkspace 字段，仅保存 UI 状态和派生版本；旧会话缺失该字段时可从最后一条调研 assistant 消息即时重建。</w:t>
      </w:r>
    </w:p>
    <w:p>
      <w:pPr>
        <w:pStyle w:val="Heading2"/>
      </w:pPr>
      <w:r>
        <w:rPr>
          <w:rFonts w:ascii="Helvetica Neue" w:hAnsi="Helvetica Neue" w:eastAsia="Microsoft YaHei"/>
        </w:rPr>
        <w:t>深度研报呈现策略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文档模型：标题、日期/主题、核心摘要、章节、证据引用、总结表、图表、来源附录。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Tiptap：复用依赖，不复用写作实例。创建 research 专属 extensions 配置；默认以阅读为主，可按产品决定开放有限编辑。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表格：优先从 Markdown 表格、显式键值对和 top_chunks 元数据生成；每个单元格可追溯至原报告或来源。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图表：只在报告中存在明确、同口径的数字序列时生成；否则显示“暂无可验证图表数据”，绝不以视觉需要补造数据。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导出：深度研报支持格式化 DOCX/PDF；文本报告支持 Markdown/TXT，亦可选原始 DOCX。下载菜单必须明确当前标签与格式。</w:t>
      </w:r>
    </w:p>
    <w:p>
      <w:pPr>
        <w:pStyle w:val="Heading1"/>
      </w:pPr>
      <w:r>
        <w:rPr>
          <w:rFonts w:ascii="Helvetica Neue" w:hAnsi="Helvetica Neue" w:eastAsia="Microsoft YaHei"/>
        </w:rPr>
        <w:t>推荐方案</w:t>
      </w:r>
    </w:p>
    <w:p>
      <w:pPr>
        <w:pStyle w:val="Heading2"/>
      </w:pPr>
      <w:r>
        <w:rPr>
          <w:rFonts w:ascii="Helvetica Neue" w:hAnsi="Helvetica Neue" w:eastAsia="Microsoft YaHei"/>
        </w:rPr>
        <w:t>实施阶段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5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9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41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P0 契约冻结</w:t>
            </w:r>
          </w:p>
        </w:tc>
        <w:tc>
          <w:tcPr>
            <w:tcW w:type="dxa" w:w="49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建立现状快照测试；记录事件、消息、会话与引擎契约</w:t>
            </w:r>
          </w:p>
        </w:tc>
        <w:tc>
          <w:tcPr>
            <w:tcW w:type="dxa" w:w="341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现有调研测试全部通过，新增链路回归基线</w:t>
            </w:r>
          </w:p>
        </w:tc>
      </w:tr>
      <w:tr>
        <w:tc>
          <w:tcPr>
            <w:tcW w:type="dxa" w:w="10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P1 独立壳层</w:t>
            </w:r>
          </w:p>
        </w:tc>
        <w:tc>
          <w:tcPr>
            <w:tcW w:type="dxa" w:w="49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新增 ResearchWorkspace、双栏、分隔条、右侧空态与标题栏</w:t>
            </w:r>
          </w:p>
        </w:tc>
        <w:tc>
          <w:tcPr>
            <w:tcW w:type="dxa" w:w="341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research 模式进入独立工作区，其他模式无变化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P2 左栏迁移</w:t>
            </w:r>
          </w:p>
        </w:tc>
        <w:tc>
          <w:tcPr>
            <w:tcW w:type="dxa" w:w="49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迁移调研消息、节点、来源、反问确认、输入器和选项</w:t>
            </w:r>
          </w:p>
        </w:tc>
        <w:tc>
          <w:tcPr>
            <w:tcW w:type="dxa" w:w="341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三种引擎全链路与历史多轮均无缺失</w:t>
            </w:r>
          </w:p>
        </w:tc>
      </w:tr>
      <w:tr>
        <w:tc>
          <w:tcPr>
            <w:tcW w:type="dxa" w:w="10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P3 双报告</w:t>
            </w:r>
          </w:p>
        </w:tc>
        <w:tc>
          <w:tcPr>
            <w:tcW w:type="dxa" w:w="49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接入 raw report 与 deep report adapter、双标签及稳定滚动</w:t>
            </w:r>
          </w:p>
        </w:tc>
        <w:tc>
          <w:tcPr>
            <w:tcW w:type="dxa" w:w="341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切换标签不丢内容、位置和选择状态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P4 文档增强</w:t>
            </w:r>
          </w:p>
        </w:tc>
        <w:tc>
          <w:tcPr>
            <w:tcW w:type="dxa" w:w="49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Tiptap、摘要表、证据表、可验证图表、来源脚注</w:t>
            </w:r>
          </w:p>
        </w:tc>
        <w:tc>
          <w:tcPr>
            <w:tcW w:type="dxa" w:w="341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长文、表格和图表布局符合参考 UI</w:t>
            </w:r>
          </w:p>
        </w:tc>
      </w:tr>
      <w:tr>
        <w:tc>
          <w:tcPr>
            <w:tcW w:type="dxa" w:w="10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P5 操作与导出</w:t>
            </w:r>
          </w:p>
        </w:tc>
        <w:tc>
          <w:tcPr>
            <w:tcW w:type="dxa" w:w="49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复制、下载、全屏、Word/PDF/MD/TXT 与失败反馈</w:t>
            </w:r>
          </w:p>
        </w:tc>
        <w:tc>
          <w:tcPr>
            <w:tcW w:type="dxa" w:w="341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按钮可键盘访问，文件内容与当前标签一致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P6 验收上线</w:t>
            </w:r>
          </w:p>
        </w:tc>
        <w:tc>
          <w:tcPr>
            <w:tcW w:type="dxa" w:w="49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响应式、性能、可访问性、视觉回归、旧会话恢复、灰度开关</w:t>
            </w:r>
          </w:p>
        </w:tc>
        <w:tc>
          <w:tcPr>
            <w:tcW w:type="dxa" w:w="341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回归门禁通过，可一键回退旧 UI</w:t>
            </w:r>
          </w:p>
        </w:tc>
      </w:tr>
    </w:tbl>
    <w:p/>
    <w:p>
      <w:pPr>
        <w:pStyle w:val="Heading2"/>
      </w:pPr>
      <w:r>
        <w:rPr>
          <w:rFonts w:ascii="Helvetica Neue" w:hAnsi="Helvetica Neue" w:eastAsia="Microsoft YaHei"/>
        </w:rPr>
        <w:t>关键实施规则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先写契约测试再迁移 UI，尤其锁定 sendDeepResearch 请求体和事件回调顺序。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通过 feature flag 切换旧/新 research UI；新壳只消费既有状态，便于快速回滚。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避免把 ChatInterface 的全部状态复制到新 feature；用 ResearchWorkspaceProps 和 view-model 建立最窄接口。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右栏报告生成采用 memoized adapter 或 Web Worker，避免长报告解析阻塞 SSE 与左侧滚动。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所有图表、表格和引用都保留 sourceIds，复制与导出时同步写入来源说明。</w:t>
      </w:r>
    </w:p>
    <w:p>
      <w:pPr>
        <w:pStyle w:val="Heading2"/>
      </w:pPr>
      <w:r>
        <w:rPr>
          <w:rFonts w:ascii="Helvetica Neue" w:hAnsi="Helvetica Neue" w:eastAsia="Microsoft YaHei"/>
        </w:rPr>
        <w:t>验收标准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链路完整：Firecrawl、自研、千问原生、Agent Loop、反问确认和失败降级均与改造前一致。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左侧完整：历史消息、每轮节点、来源、精选片段、reasoning 展开、输入器与选项均未省略。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右侧完整：深度研报与文本报告均可独立滚动、切换、恢复；长文不溢出。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操作完整：复制、下载、全屏/退出全屏均有成功或失败反馈，键盘与屏幕阅读器可用。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文档可信：图表和总结表格均能追溯到 report 或 sources；无可验证数据时不生成伪图。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兼容恢复：旧 research 会话不迁移数据库也能打开；新会话刷新后保持双报告和 UI 状态。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视觉一致：布局、层级、留白、标签和工具栏与参考图同一视觉语言，并与 AI 写作工作区保持产品一致性。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隔离可靠：writing feature 与 deep-research feature 互不导入业务 reducer、document state 或导出器。</w:t>
      </w:r>
    </w:p>
    <w:p>
      <w:pPr>
        <w:pStyle w:val="Heading2"/>
      </w:pPr>
      <w:r>
        <w:rPr>
          <w:rFonts w:ascii="Helvetica Neue" w:hAnsi="Helvetica Neue" w:eastAsia="Microsoft YaHei"/>
        </w:rPr>
        <w:t>风险与处置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26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处置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ChatInterface 过大</w:t>
            </w:r>
          </w:p>
        </w:tc>
        <w:tc>
          <w:tcPr>
            <w:tcW w:type="dxa" w:w="29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迁移时容易引入状态闭包和竞态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先提取 view-model/回调，不改请求函数；按阶段切换</w:t>
            </w:r>
          </w:p>
        </w:tc>
      </w:tr>
      <w:tr>
        <w:tc>
          <w:tcPr>
            <w:tcW w:type="dxa" w:w="22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报告只有字符串</w:t>
            </w:r>
          </w:p>
        </w:tc>
        <w:tc>
          <w:tcPr>
            <w:tcW w:type="dxa" w:w="29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难以稳定生成图表</w:t>
            </w:r>
          </w:p>
        </w:tc>
        <w:tc>
          <w:tcPr>
            <w:tcW w:type="dxa" w:w="42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建立可追溯解析规则；不满足规则则降级为摘要表/正文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Tiptap 与流式更新冲突</w:t>
            </w:r>
          </w:p>
        </w:tc>
        <w:tc>
          <w:tcPr>
            <w:tcW w:type="dxa" w:w="29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光标跳动、文档重置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生成完成后一次装载，或用事务增量更新并保护 selection</w:t>
            </w:r>
          </w:p>
        </w:tc>
      </w:tr>
      <w:tr>
        <w:tc>
          <w:tcPr>
            <w:tcW w:type="dxa" w:w="22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双栏窄屏</w:t>
            </w:r>
          </w:p>
        </w:tc>
        <w:tc>
          <w:tcPr>
            <w:tcW w:type="dxa" w:w="29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移动端难同时阅读</w:t>
            </w:r>
          </w:p>
        </w:tc>
        <w:tc>
          <w:tcPr>
            <w:tcW w:type="dxa" w:w="42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桌面双栏；小屏切换为“对话/报告”顶层页签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导出与网页不一致</w:t>
            </w:r>
          </w:p>
        </w:tc>
        <w:tc>
          <w:tcPr>
            <w:tcW w:type="dxa" w:w="29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用户不信任产物</w:t>
            </w:r>
          </w:p>
        </w:tc>
        <w:tc>
          <w:tcPr>
            <w:tcW w:type="dxa" w:w="42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统一 ResearchDocument AST 驱动网页与 DOCX/PDF 输出</w:t>
            </w:r>
          </w:p>
        </w:tc>
      </w:tr>
      <w:tr>
        <w:tc>
          <w:tcPr>
            <w:tcW w:type="dxa" w:w="22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旧会话缺新状态</w:t>
            </w:r>
          </w:p>
        </w:tc>
        <w:tc>
          <w:tcPr>
            <w:tcW w:type="dxa" w:w="29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历史报告空白</w:t>
            </w:r>
          </w:p>
        </w:tc>
        <w:tc>
          <w:tcPr>
            <w:tcW w:type="dxa" w:w="42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从 messages 最后一条 research assistant 内容惰性重建</w:t>
            </w:r>
          </w:p>
        </w:tc>
      </w:tr>
    </w:tbl>
    <w:p/>
    <w:p>
      <w:pPr>
        <w:pStyle w:val="Heading2"/>
      </w:pPr>
      <w:r>
        <w:rPr>
          <w:rFonts w:ascii="Helvetica Neue" w:hAnsi="Helvetica Neue" w:eastAsia="Microsoft YaHei"/>
        </w:rPr>
        <w:t>结论</w:t>
      </w:r>
    </w:p>
    <w:p>
      <w:r>
        <w:rPr>
          <w:rFonts w:ascii="Helvetica Neue" w:hAnsi="Helvetica Neue" w:eastAsia="Microsoft YaHei"/>
        </w:rPr>
        <w:t>推荐采用“冻结调研链路 + 新建独立 ResearchWorkspace + 双报告展示适配层”的路线。它能最大限度复用当前已经稳定的调研能力和 AI 写作积累的交互经验，同时满足业务隔离要求。第一轮应先交付独立双栏、完整左侧链路、右侧文本报告与按钮；第二轮再接入深度研报 AST、Tiptap、可信表格/图表和格式化导出，以降低一次性重构风险。</w:t>
      </w:r>
    </w:p>
    <w:p>
      <w:pPr>
        <w:pStyle w:val="Heading1"/>
      </w:pPr>
      <w:r>
        <w:rPr>
          <w:rFonts w:ascii="Helvetica Neue" w:hAnsi="Helvetica Neue" w:eastAsia="Microsoft YaHei"/>
        </w:rPr>
        <w:t>附录</w:t>
      </w:r>
    </w:p>
    <w:p>
      <w:pPr>
        <w:pStyle w:val="Heading2"/>
      </w:pPr>
      <w:r>
        <w:rPr>
          <w:rFonts w:ascii="Helvetica Neue" w:hAnsi="Helvetica Neue" w:eastAsia="Microsoft YaHei"/>
        </w:rPr>
        <w:t>A. 现有关键文件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5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15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当前职责</w:t>
            </w:r>
          </w:p>
        </w:tc>
        <w:tc>
          <w:tcPr>
            <w:tcW w:type="dxa" w:w="306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计划动作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components/ChatInterface.tsx</w:t>
            </w:r>
          </w:p>
        </w:tc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调研状态、请求回调、通用消息 UI、会话恢复</w:t>
            </w:r>
          </w:p>
        </w:tc>
        <w:tc>
          <w:tcPr>
            <w:tcW w:type="dxa" w:w="30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保留编排；逐步把 research 视图移至专属 workspace</w:t>
            </w:r>
          </w:p>
        </w:tc>
      </w:tr>
      <w:tr>
        <w:tc>
          <w:tcPr>
            <w:tcW w:type="dxa" w:w="31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lib/api.ts</w:t>
            </w:r>
          </w:p>
        </w:tc>
        <w:tc>
          <w:tcPr>
            <w:tcW w:type="dxa" w:w="31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类型、POST /deep_research、SSE 解析与 NodeEvent 翻译</w:t>
            </w:r>
          </w:p>
        </w:tc>
        <w:tc>
          <w:tcPr>
            <w:tcW w:type="dxa" w:w="30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冻结公开契约，仅补充 UI 所需可选类型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components/NodeProgressPanel.tsx</w:t>
            </w:r>
          </w:p>
        </w:tc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节点、迭代、来源和 reasoning 展开</w:t>
            </w:r>
          </w:p>
        </w:tc>
        <w:tc>
          <w:tcPr>
            <w:tcW w:type="dxa" w:w="30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原样嵌入左栏，必要时只做视觉适配</w:t>
            </w:r>
          </w:p>
        </w:tc>
      </w:tr>
      <w:tr>
        <w:tc>
          <w:tcPr>
            <w:tcW w:type="dxa" w:w="31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components/MarkdownMessage.tsx</w:t>
            </w:r>
          </w:p>
        </w:tc>
        <w:tc>
          <w:tcPr>
            <w:tcW w:type="dxa" w:w="31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GFM/数学/表格渲染</w:t>
            </w:r>
          </w:p>
        </w:tc>
        <w:tc>
          <w:tcPr>
            <w:tcW w:type="dxa" w:w="30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用于 raw report 或封装 research 专属样式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features/ai-writing/WritingWorkspace.tsx</w:t>
            </w:r>
          </w:p>
        </w:tc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独立双栏与文档操作参考</w:t>
            </w:r>
          </w:p>
        </w:tc>
        <w:tc>
          <w:tcPr>
            <w:tcW w:type="dxa" w:w="30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仅参考，不作为 research 容器</w:t>
            </w:r>
          </w:p>
        </w:tc>
      </w:tr>
      <w:tr>
        <w:tc>
          <w:tcPr>
            <w:tcW w:type="dxa" w:w="31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features/ai-writing/layout/WritingDocumentEditor.tsx</w:t>
            </w:r>
          </w:p>
        </w:tc>
        <w:tc>
          <w:tcPr>
            <w:tcW w:type="dxa" w:w="315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Tiptap 接入参考</w:t>
            </w:r>
          </w:p>
        </w:tc>
        <w:tc>
          <w:tcPr>
            <w:tcW w:type="dxa" w:w="30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复制技术模式，建立 research 专属配置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features/ai-writing/thesis/thesisWordExport.ts</w:t>
            </w:r>
          </w:p>
        </w:tc>
        <w:tc>
          <w:tcPr>
            <w:tcW w:type="dxa" w:w="315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Word 导出参考</w:t>
            </w:r>
          </w:p>
        </w:tc>
        <w:tc>
          <w:tcPr>
            <w:tcW w:type="dxa" w:w="30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建立 researchWordExport，不共享写作业务模型</w:t>
            </w:r>
          </w:p>
        </w:tc>
      </w:tr>
    </w:tbl>
    <w:p/>
    <w:p>
      <w:pPr>
        <w:pStyle w:val="Heading2"/>
      </w:pPr>
      <w:r>
        <w:rPr>
          <w:rFonts w:ascii="Helvetica Neue" w:hAnsi="Helvetica Neue" w:eastAsia="Microsoft YaHei"/>
        </w:rPr>
        <w:t>B. 事件兼容矩阵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事件/字段</w:t>
            </w:r>
          </w:p>
        </w:tc>
        <w:tc>
          <w:tcPr>
            <w:tcW w:type="dxa" w:w="310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现有用途</w:t>
            </w:r>
          </w:p>
        </w:tc>
        <w:tc>
          <w:tcPr>
            <w:tcW w:type="dxa" w:w="4060"/>
            <w:vAlign w:val="center"/>
            <w:shd w:fill="111111"/>
          </w:tcPr>
          <w:p>
            <w:pPr>
              <w:spacing w:after="0"/>
            </w:pPr>
            <w:r>
              <w:rPr>
                <w:rFonts w:ascii="Helvetica Neue" w:hAnsi="Helvetica Neue" w:eastAsia="Microsoft YaHei"/>
                <w:b/>
                <w:color w:val="FFFFFF"/>
                <w:sz w:val="18"/>
              </w:rPr>
              <w:t>新 UI 落点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research_process</w:t>
            </w:r>
          </w:p>
        </w:tc>
        <w:tc>
          <w:tcPr>
            <w:tcW w:type="dxa" w:w="31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阶段进度与节点翻译</w:t>
            </w:r>
          </w:p>
        </w:tc>
        <w:tc>
          <w:tcPr>
            <w:tcW w:type="dxa" w:w="40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左栏 NodeProgressPanel</w:t>
            </w:r>
          </w:p>
        </w:tc>
      </w:tr>
      <w:tr>
        <w:tc>
          <w:tcPr>
            <w:tcW w:type="dxa" w:w="22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qwen_feedback</w:t>
            </w:r>
          </w:p>
        </w:tc>
        <w:tc>
          <w:tcPr>
            <w:tcW w:type="dxa" w:w="31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反问确认与继续研究</w:t>
            </w:r>
          </w:p>
        </w:tc>
        <w:tc>
          <w:tcPr>
            <w:tcW w:type="dxa" w:w="40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左栏对话内嵌卡片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research_reason_done</w:t>
            </w:r>
          </w:p>
        </w:tc>
        <w:tc>
          <w:tcPr>
            <w:tcW w:type="dxa" w:w="31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reasoning、report、耗时</w:t>
            </w:r>
          </w:p>
        </w:tc>
        <w:tc>
          <w:tcPr>
            <w:tcW w:type="dxa" w:w="40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左栏 reasoning + 右栏原始报告</w:t>
            </w:r>
          </w:p>
        </w:tc>
      </w:tr>
      <w:tr>
        <w:tc>
          <w:tcPr>
            <w:tcW w:type="dxa" w:w="22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research done</w:t>
            </w:r>
          </w:p>
        </w:tc>
        <w:tc>
          <w:tcPr>
            <w:tcW w:type="dxa" w:w="31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total_pages、chunks、top_chunks、report</w:t>
            </w:r>
          </w:p>
        </w:tc>
        <w:tc>
          <w:tcPr>
            <w:tcW w:type="dxa" w:w="40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左栏来源统计 + 右栏深度研报适配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messages[].nodeProgress</w:t>
            </w:r>
          </w:p>
        </w:tc>
        <w:tc>
          <w:tcPr>
            <w:tcW w:type="dxa" w:w="310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每轮链路持久化</w:t>
            </w:r>
          </w:p>
        </w:tc>
        <w:tc>
          <w:tcPr>
            <w:tcW w:type="dxa" w:w="4060"/>
            <w:vAlign w:val="center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左栏历史轮次恢复</w:t>
            </w:r>
          </w:p>
        </w:tc>
      </w:tr>
      <w:tr>
        <w:tc>
          <w:tcPr>
            <w:tcW w:type="dxa" w:w="22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messages[].researchChunks</w:t>
            </w:r>
          </w:p>
        </w:tc>
        <w:tc>
          <w:tcPr>
            <w:tcW w:type="dxa" w:w="310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每轮精选片段持久化</w:t>
            </w:r>
          </w:p>
        </w:tc>
        <w:tc>
          <w:tcPr>
            <w:tcW w:type="dxa" w:w="4060"/>
            <w:vAlign w:val="center"/>
            <w:shd w:fill="F4F4F4"/>
          </w:tcPr>
          <w:p>
            <w:pPr>
              <w:spacing w:after="0" w:line="259" w:lineRule="auto"/>
            </w:pPr>
            <w:r>
              <w:rPr>
                <w:rFonts w:ascii="Helvetica Neue" w:hAnsi="Helvetica Neue" w:eastAsia="Microsoft YaHei"/>
                <w:sz w:val="17"/>
              </w:rPr>
              <w:t>来源面板、证据表和报告附录</w:t>
            </w:r>
          </w:p>
        </w:tc>
      </w:tr>
    </w:tbl>
    <w:p/>
    <w:p>
      <w:pPr>
        <w:pStyle w:val="Heading2"/>
      </w:pPr>
      <w:r>
        <w:rPr>
          <w:rFonts w:ascii="Helvetica Neue" w:hAnsi="Helvetica Neue" w:eastAsia="Microsoft YaHei"/>
        </w:rPr>
        <w:t>C. 本计划明确不包含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不调整后端调研算法、模型、检索、Rerank、推理、降级或 SSE 协议。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不把 AI 写作的 WritingWorkspace 直接复用于调研模式。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不为了生成图表而修改模型输出或伪造数值。</w:t>
      </w:r>
    </w:p>
    <w:p>
      <w:pPr>
        <w:numPr>
          <w:ilvl w:val="0"/>
          <w:numId w:val="1"/>
        </w:numPr>
      </w:pPr>
      <w:r>
        <w:rPr>
          <w:rFonts w:ascii="Helvetica Neue" w:hAnsi="Helvetica Neue" w:eastAsia="Microsoft YaHei"/>
        </w:rPr>
        <w:t>不在本计划阶段实施代码；实际开发应按 P0—P6 分阶段评审。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调研模式前端框架重构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2026 年 8 月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调研模式前端框架重构计划书</dc:title>
  <cp:lastModifiedBy>python-docx</cp:lastModifiedBy>
  <cp:revision>1</cp:revision>
  <dcterms:modified xsi:type="dcterms:W3CDTF">2026-08-14T09:05:42Z</dcterms:modified>
  <dc:subject>在不改变调研链路的前提下重构独立双栏调研工作区</dc:subject>
  <dc:creator>Codex</dc:creator>
  <dc:description>基于现有代码框架与用户提供的 UI 参考图形成。</dc:description>
</cp:coreProperties>
</file>