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NOVEX”  REPORT: 01-Feb-2023 - 28-Feb-2023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44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44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KLATAKAT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LUAYEMAY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PAURTAVL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MIATEPAT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MAARKATT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DECBRMCB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ALHDRLEK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AGOLIKOL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PRAKOYAK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KOEVEPEV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PAHANCHA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FULANSLA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YAAPCTAP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HAVANIVA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VIEVEPEV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YAODUKOD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CIORDJOR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AYESAMES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DILYNIYA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YAYORKAO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ALHDRZHD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DUANOZAN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