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18E" w:rsidRPr="00B341B4" w:rsidRDefault="00DB218E" w:rsidP="00DB218E">
      <w:pPr>
        <w:pStyle w:val="NormalWeb"/>
        <w:wordWrap w:val="0"/>
        <w:spacing w:line="300" w:lineRule="atLeast"/>
        <w:rPr>
          <w:rFonts w:asciiTheme="majorHAnsi" w:hAnsiTheme="majorHAnsi" w:cstheme="majorHAnsi"/>
          <w:b/>
          <w:sz w:val="28"/>
          <w:szCs w:val="28"/>
        </w:rPr>
      </w:pPr>
      <w:r w:rsidRPr="00F36A6E">
        <w:rPr>
          <w:rFonts w:asciiTheme="majorHAnsi" w:hAnsiTheme="majorHAnsi" w:cstheme="majorHAnsi"/>
          <w:b/>
          <w:sz w:val="28"/>
          <w:szCs w:val="28"/>
        </w:rPr>
        <w:t xml:space="preserve">This is an example of GO analysis on </w:t>
      </w:r>
      <w:r w:rsidR="000D25F4">
        <w:rPr>
          <w:rFonts w:asciiTheme="majorHAnsi" w:hAnsiTheme="majorHAnsi" w:cstheme="majorHAnsi"/>
          <w:b/>
          <w:sz w:val="28"/>
          <w:szCs w:val="28"/>
        </w:rPr>
        <w:t>Tania paper</w:t>
      </w:r>
      <w:r w:rsidRPr="00F36A6E">
        <w:rPr>
          <w:rFonts w:asciiTheme="majorHAnsi" w:hAnsiTheme="majorHAnsi" w:cstheme="majorHAnsi"/>
          <w:b/>
          <w:sz w:val="28"/>
          <w:szCs w:val="28"/>
        </w:rPr>
        <w:t xml:space="preserve">, which can be easily modified for other </w:t>
      </w:r>
      <w:proofErr w:type="spellStart"/>
      <w:r w:rsidRPr="00F36A6E">
        <w:rPr>
          <w:rFonts w:asciiTheme="majorHAnsi" w:hAnsiTheme="majorHAnsi" w:cstheme="majorHAnsi"/>
          <w:b/>
          <w:sz w:val="28"/>
          <w:szCs w:val="28"/>
        </w:rPr>
        <w:t>transcriptomics</w:t>
      </w:r>
      <w:proofErr w:type="spellEnd"/>
      <w:r w:rsidRPr="00F36A6E">
        <w:rPr>
          <w:rFonts w:asciiTheme="majorHAnsi" w:hAnsiTheme="majorHAnsi" w:cstheme="majorHAnsi"/>
          <w:b/>
          <w:sz w:val="28"/>
          <w:szCs w:val="28"/>
        </w:rPr>
        <w:t>/proteomics data analysis.</w:t>
      </w:r>
    </w:p>
    <w:p w:rsidR="00A32EF7" w:rsidRDefault="00A32EF7">
      <w:r w:rsidRPr="00F36A6E">
        <w:rPr>
          <w:highlight w:val="lightGray"/>
        </w:rPr>
        <w:t>Section 1:   Differentially expressed gene</w:t>
      </w:r>
      <w:r w:rsidR="00DB218E" w:rsidRPr="00F36A6E">
        <w:rPr>
          <w:highlight w:val="lightGray"/>
        </w:rPr>
        <w:t xml:space="preserve"> (DEG)</w:t>
      </w:r>
      <w:r w:rsidRPr="00F36A6E">
        <w:rPr>
          <w:highlight w:val="lightGray"/>
        </w:rPr>
        <w:t xml:space="preserve"> analysis</w:t>
      </w:r>
    </w:p>
    <w:p w:rsidR="00A32EF7" w:rsidRDefault="00A32EF7">
      <w:r>
        <w:t>S</w:t>
      </w:r>
      <w:r w:rsidR="00DB218E">
        <w:t>t</w:t>
      </w:r>
      <w:r>
        <w:t xml:space="preserve">ep </w:t>
      </w:r>
      <w:r w:rsidR="00DB218E">
        <w:t>1</w:t>
      </w:r>
      <w:r>
        <w:t>, download counts file</w:t>
      </w:r>
      <w:r w:rsidR="000D25F4">
        <w:t>, sample information</w:t>
      </w:r>
      <w:r>
        <w:t xml:space="preserve"> </w:t>
      </w:r>
      <w:r w:rsidR="00DB218E">
        <w:t>of RNA-</w:t>
      </w:r>
      <w:proofErr w:type="spellStart"/>
      <w:r w:rsidR="00DB218E">
        <w:t>seq</w:t>
      </w:r>
      <w:proofErr w:type="spellEnd"/>
      <w:r w:rsidR="00DB218E">
        <w:t xml:space="preserve"> </w:t>
      </w:r>
      <w:r>
        <w:t>and prepare comparison information</w:t>
      </w:r>
      <w:r w:rsidR="000D25F4">
        <w:t xml:space="preserve"> (here we do all against all)</w:t>
      </w:r>
      <w:r>
        <w:t xml:space="preserve">; In this example </w:t>
      </w:r>
      <w:r w:rsidR="000D25F4">
        <w:t>the three</w:t>
      </w:r>
      <w:r w:rsidR="00DB218E">
        <w:t xml:space="preserve"> files were</w:t>
      </w:r>
      <w:r>
        <w:t xml:space="preserve"> named them as “</w:t>
      </w:r>
      <w:r w:rsidR="000D25F4" w:rsidRPr="000D25F4">
        <w:t>counts.txt</w:t>
      </w:r>
      <w:r>
        <w:t>”,</w:t>
      </w:r>
      <w:r w:rsidR="000D25F4">
        <w:t xml:space="preserve"> “</w:t>
      </w:r>
      <w:r w:rsidR="000D25F4" w:rsidRPr="000D25F4">
        <w:t>rpkm.txt</w:t>
      </w:r>
      <w:proofErr w:type="gramStart"/>
      <w:r w:rsidR="000D25F4">
        <w:t>”</w:t>
      </w:r>
      <w:r>
        <w:t xml:space="preserve"> </w:t>
      </w:r>
      <w:r w:rsidR="000D25F4">
        <w:t>,</w:t>
      </w:r>
      <w:proofErr w:type="gramEnd"/>
      <w:r w:rsidR="000D25F4">
        <w:t xml:space="preserve"> “</w:t>
      </w:r>
      <w:r w:rsidR="000D25F4" w:rsidRPr="000D25F4">
        <w:t>sample_information_Tania.txt</w:t>
      </w:r>
      <w:r w:rsidR="000D25F4">
        <w:t xml:space="preserve">”.  </w:t>
      </w:r>
    </w:p>
    <w:p w:rsidR="00DB218E" w:rsidRDefault="00DB218E">
      <w:r>
        <w:t>Step 2, modify and run DEseq2 R scripts, “</w:t>
      </w:r>
      <w:r w:rsidR="000D25F4" w:rsidRPr="000D25F4">
        <w:t>DEseq_code_normalize_all_samples_together2.r</w:t>
      </w:r>
      <w:r>
        <w:t>”;</w:t>
      </w:r>
    </w:p>
    <w:p w:rsidR="00DB218E" w:rsidRDefault="00DB218E">
      <w:r>
        <w:t>Step 3, mark the significant genes with R scripts, “</w:t>
      </w:r>
      <w:r w:rsidR="000D25F4" w:rsidRPr="000D25F4">
        <w:t>RNAseq_calculate_statis_category_p001_fold2.r</w:t>
      </w:r>
      <w:r>
        <w:t>”;</w:t>
      </w:r>
      <w:r w:rsidR="00AE45E6">
        <w:t xml:space="preserve"> </w:t>
      </w:r>
      <w:proofErr w:type="gramStart"/>
      <w:r w:rsidR="00AE45E6">
        <w:t>The</w:t>
      </w:r>
      <w:proofErr w:type="gramEnd"/>
      <w:r w:rsidR="00AE45E6">
        <w:t xml:space="preserve"> specific cutoff about fold-change and p-value can be adjusted, the default one is p=0.001 fold=2.</w:t>
      </w:r>
    </w:p>
    <w:p w:rsidR="00A32EF7" w:rsidRDefault="00A32EF7"/>
    <w:p w:rsidR="00F36A6E" w:rsidRDefault="00F36A6E"/>
    <w:p w:rsidR="00A32EF7" w:rsidRPr="00B341B4" w:rsidRDefault="00DB218E">
      <w:pPr>
        <w:rPr>
          <w:b/>
          <w:sz w:val="24"/>
          <w:szCs w:val="24"/>
        </w:rPr>
      </w:pPr>
      <w:r w:rsidRPr="00B341B4">
        <w:rPr>
          <w:sz w:val="24"/>
          <w:szCs w:val="24"/>
          <w:highlight w:val="lightGray"/>
        </w:rPr>
        <w:t>Section 2, GO enrichment based on the DEG results (the output from above step 3)</w:t>
      </w:r>
    </w:p>
    <w:p w:rsidR="008A41E6" w:rsidRDefault="008A41E6"/>
    <w:p w:rsidR="008A41E6" w:rsidRDefault="008A41E6">
      <w:r>
        <w:t xml:space="preserve">Step </w:t>
      </w:r>
      <w:r w:rsidR="00B341B4">
        <w:t>4</w:t>
      </w:r>
      <w:r>
        <w:t>: manually d</w:t>
      </w:r>
      <w:r w:rsidR="00B341B4">
        <w:t xml:space="preserve">ownload protein </w:t>
      </w:r>
      <w:proofErr w:type="spellStart"/>
      <w:r w:rsidR="00B341B4">
        <w:t>fasta</w:t>
      </w:r>
      <w:proofErr w:type="spellEnd"/>
      <w:r w:rsidR="00B341B4">
        <w:t xml:space="preserve"> file</w:t>
      </w:r>
      <w:r>
        <w:t xml:space="preserve">, GO annotation from JGI </w:t>
      </w:r>
      <w:proofErr w:type="spellStart"/>
      <w:r>
        <w:t>Mycocosm</w:t>
      </w:r>
      <w:proofErr w:type="spellEnd"/>
      <w:r>
        <w:t xml:space="preserve"> database;</w:t>
      </w:r>
    </w:p>
    <w:p w:rsidR="008A41E6" w:rsidRDefault="008A41E6">
      <w:r>
        <w:t>Step</w:t>
      </w:r>
      <w:r w:rsidR="00B341B4">
        <w:t xml:space="preserve"> 5</w:t>
      </w:r>
      <w:r>
        <w:t xml:space="preserve">: modify and run the </w:t>
      </w:r>
      <w:proofErr w:type="spellStart"/>
      <w:r>
        <w:t>perl</w:t>
      </w:r>
      <w:proofErr w:type="spellEnd"/>
      <w:r>
        <w:t xml:space="preserve"> script “</w:t>
      </w:r>
      <w:r w:rsidRPr="008A41E6">
        <w:t>reformat_GO_references_A.niger.pl</w:t>
      </w:r>
      <w:r>
        <w:t>” to get reformatted GO file;</w:t>
      </w:r>
    </w:p>
    <w:p w:rsidR="008A41E6" w:rsidRPr="002E65E2" w:rsidRDefault="008A41E6" w:rsidP="008A41E6">
      <w:pPr>
        <w:autoSpaceDE w:val="0"/>
        <w:autoSpaceDN w:val="0"/>
        <w:adjustRightInd w:val="0"/>
        <w:spacing w:after="0" w:line="240" w:lineRule="auto"/>
      </w:pPr>
      <w:r>
        <w:t xml:space="preserve">Step </w:t>
      </w:r>
      <w:r w:rsidR="00B341B4">
        <w:t>6</w:t>
      </w:r>
      <w:r>
        <w:t xml:space="preserve">: </w:t>
      </w:r>
      <w:r w:rsidRPr="00050817">
        <w:t xml:space="preserve">put the GO terms and GO relation </w:t>
      </w:r>
      <w:r w:rsidR="00B341B4" w:rsidRPr="00050817">
        <w:t>tables</w:t>
      </w:r>
      <w:r w:rsidR="00310878" w:rsidRPr="00050817">
        <w:t xml:space="preserve"> in the same folder</w:t>
      </w:r>
      <w:r w:rsidR="002E65E2" w:rsidRPr="00050817">
        <w:t xml:space="preserve">. These two files (“all_GO_terms.txt”, and “GO_ancster_relationship.txt”) could be used for analysis of other species. </w:t>
      </w:r>
      <w:r w:rsidRPr="00050817">
        <w:t xml:space="preserve"> (</w:t>
      </w:r>
      <w:r w:rsidR="00337DE3" w:rsidRPr="00050817">
        <w:t>This GO data is e</w:t>
      </w:r>
      <w:r w:rsidRPr="00050817">
        <w:t xml:space="preserve">xported from R package called </w:t>
      </w:r>
      <w:proofErr w:type="spellStart"/>
      <w:r w:rsidRPr="00050817">
        <w:t>GO.db</w:t>
      </w:r>
      <w:proofErr w:type="spellEnd"/>
      <w:r w:rsidRPr="00050817">
        <w:t xml:space="preserve">, </w:t>
      </w:r>
      <w:r w:rsidR="00337DE3" w:rsidRPr="00050817">
        <w:t>(</w:t>
      </w:r>
      <w:r w:rsidRPr="00050817">
        <w:t xml:space="preserve">Carlson M. 2018. </w:t>
      </w:r>
      <w:proofErr w:type="spellStart"/>
      <w:r w:rsidRPr="00050817">
        <w:t>GO.db</w:t>
      </w:r>
      <w:proofErr w:type="spellEnd"/>
      <w:r w:rsidRPr="00050817">
        <w:t>: A set of annotation maps describing the entire Gene Ontology)</w:t>
      </w:r>
      <w:r w:rsidR="00337DE3" w:rsidRPr="00050817">
        <w:t>)</w:t>
      </w:r>
      <w:r w:rsidR="002E65E2" w:rsidRPr="00050817">
        <w:t>.</w:t>
      </w:r>
      <w:r w:rsidRPr="002E65E2">
        <w:t xml:space="preserve"> </w:t>
      </w:r>
      <w:r w:rsidR="00050817" w:rsidRPr="00F5671C">
        <w:rPr>
          <w:highlight w:val="lightGray"/>
        </w:rPr>
        <w:t>The all_GO_terms.txt file</w:t>
      </w:r>
      <w:r w:rsidR="00F5671C" w:rsidRPr="00F5671C">
        <w:rPr>
          <w:highlight w:val="lightGray"/>
        </w:rPr>
        <w:t xml:space="preserve"> and </w:t>
      </w:r>
      <w:r w:rsidR="00F5671C" w:rsidRPr="00F5671C">
        <w:rPr>
          <w:highlight w:val="lightGray"/>
        </w:rPr>
        <w:t>GO_ancster_relationship.txt</w:t>
      </w:r>
      <w:r w:rsidR="00F5671C" w:rsidRPr="00F5671C">
        <w:rPr>
          <w:highlight w:val="lightGray"/>
        </w:rPr>
        <w:t xml:space="preserve"> are</w:t>
      </w:r>
      <w:r w:rsidR="00050817" w:rsidRPr="00F5671C">
        <w:rPr>
          <w:highlight w:val="lightGray"/>
        </w:rPr>
        <w:t xml:space="preserve"> too big and I </w:t>
      </w:r>
      <w:r w:rsidR="009F29DC" w:rsidRPr="00F5671C">
        <w:rPr>
          <w:highlight w:val="lightGray"/>
        </w:rPr>
        <w:t>put it one the reference</w:t>
      </w:r>
      <w:r w:rsidR="00050817" w:rsidRPr="00F5671C">
        <w:rPr>
          <w:highlight w:val="lightGray"/>
        </w:rPr>
        <w:t xml:space="preserve"> folder</w:t>
      </w:r>
      <w:bookmarkStart w:id="0" w:name="_GoBack"/>
      <w:bookmarkEnd w:id="0"/>
      <w:r w:rsidR="00050817">
        <w:t>.</w:t>
      </w:r>
    </w:p>
    <w:p w:rsidR="008A41E6" w:rsidRDefault="008A41E6" w:rsidP="008A41E6">
      <w:pPr>
        <w:autoSpaceDE w:val="0"/>
        <w:autoSpaceDN w:val="0"/>
        <w:adjustRightInd w:val="0"/>
        <w:spacing w:after="0" w:line="240" w:lineRule="auto"/>
        <w:rPr>
          <w:rFonts w:ascii="Calibri" w:hAnsi="Calibri" w:cs="Calibri"/>
          <w:sz w:val="20"/>
          <w:szCs w:val="20"/>
        </w:rPr>
      </w:pPr>
    </w:p>
    <w:p w:rsidR="008A41E6" w:rsidRDefault="00310878" w:rsidP="008A41E6">
      <w:pPr>
        <w:autoSpaceDE w:val="0"/>
        <w:autoSpaceDN w:val="0"/>
        <w:adjustRightInd w:val="0"/>
        <w:spacing w:after="0" w:line="240" w:lineRule="auto"/>
      </w:pPr>
      <w:r>
        <w:t xml:space="preserve">Step </w:t>
      </w:r>
      <w:proofErr w:type="gramStart"/>
      <w:r w:rsidR="002E65E2">
        <w:t>7</w:t>
      </w:r>
      <w:proofErr w:type="gramEnd"/>
      <w:r>
        <w:t xml:space="preserve">; modify and run the </w:t>
      </w:r>
      <w:proofErr w:type="spellStart"/>
      <w:r>
        <w:t>perl</w:t>
      </w:r>
      <w:proofErr w:type="spellEnd"/>
      <w:r>
        <w:t xml:space="preserve"> script “</w:t>
      </w:r>
      <w:r w:rsidRPr="00310878">
        <w:t>add_GO_references_ancester.pl</w:t>
      </w:r>
      <w:r>
        <w:t>”</w:t>
      </w:r>
      <w:r w:rsidR="00AC077F">
        <w:t>, as the original JGI GO list lack GO ancestor nodes</w:t>
      </w:r>
      <w:r>
        <w:t>;</w:t>
      </w:r>
    </w:p>
    <w:p w:rsidR="00300820" w:rsidRDefault="00300820" w:rsidP="008A41E6">
      <w:pPr>
        <w:autoSpaceDE w:val="0"/>
        <w:autoSpaceDN w:val="0"/>
        <w:adjustRightInd w:val="0"/>
        <w:spacing w:after="0" w:line="240" w:lineRule="auto"/>
      </w:pPr>
    </w:p>
    <w:p w:rsidR="00300820" w:rsidRDefault="00300820" w:rsidP="008A41E6">
      <w:pPr>
        <w:autoSpaceDE w:val="0"/>
        <w:autoSpaceDN w:val="0"/>
        <w:adjustRightInd w:val="0"/>
        <w:spacing w:after="0" w:line="240" w:lineRule="auto"/>
      </w:pPr>
      <w:r>
        <w:t xml:space="preserve">There are two approaches for GO analysis and visualization: first one is directly using </w:t>
      </w:r>
      <w:proofErr w:type="spellStart"/>
      <w:r>
        <w:t>GOslim</w:t>
      </w:r>
      <w:proofErr w:type="spellEnd"/>
      <w:r>
        <w:t xml:space="preserve"> for enrichment analysis and visualization as shown step 8 and 9; the other one is do analysis on the full GO list firstly and then filter full GO list to GO slim list and then visualize them as shown in Step 8.2, 9.2 10.</w:t>
      </w:r>
    </w:p>
    <w:p w:rsidR="00300820" w:rsidRDefault="00300820" w:rsidP="008A41E6">
      <w:pPr>
        <w:autoSpaceDE w:val="0"/>
        <w:autoSpaceDN w:val="0"/>
        <w:adjustRightInd w:val="0"/>
        <w:spacing w:after="0" w:line="240" w:lineRule="auto"/>
      </w:pPr>
    </w:p>
    <w:p w:rsidR="00300820" w:rsidRDefault="00300820" w:rsidP="00300820">
      <w:pPr>
        <w:autoSpaceDE w:val="0"/>
        <w:autoSpaceDN w:val="0"/>
        <w:adjustRightInd w:val="0"/>
        <w:spacing w:after="0" w:line="240" w:lineRule="auto"/>
      </w:pPr>
      <w:r>
        <w:t>Step 8; modify and run R script (“</w:t>
      </w:r>
      <w:proofErr w:type="spellStart"/>
      <w:r w:rsidRPr="00300820">
        <w:t>GOslim_BP_analysis.r</w:t>
      </w:r>
      <w:proofErr w:type="spellEnd"/>
      <w:r>
        <w:t>”, “</w:t>
      </w:r>
      <w:proofErr w:type="spellStart"/>
      <w:r>
        <w:t>GOslim_CC</w:t>
      </w:r>
      <w:r w:rsidRPr="00300820">
        <w:t>_analysis.r</w:t>
      </w:r>
      <w:proofErr w:type="spellEnd"/>
      <w:r>
        <w:t>”</w:t>
      </w:r>
      <w:proofErr w:type="gramStart"/>
      <w:r>
        <w:t>,  “</w:t>
      </w:r>
      <w:proofErr w:type="spellStart"/>
      <w:proofErr w:type="gramEnd"/>
      <w:r>
        <w:t>GOslim</w:t>
      </w:r>
      <w:proofErr w:type="spellEnd"/>
      <w:r>
        <w:t>_</w:t>
      </w:r>
      <w:r w:rsidRPr="00300820">
        <w:t>_</w:t>
      </w:r>
      <w:proofErr w:type="spellStart"/>
      <w:r w:rsidRPr="00300820">
        <w:t>analysis.r</w:t>
      </w:r>
      <w:proofErr w:type="spellEnd"/>
      <w:r>
        <w:t>”) for GO enrichment analysis based on DEGs results of DEseq2;</w:t>
      </w:r>
    </w:p>
    <w:p w:rsidR="00300820" w:rsidRDefault="00300820" w:rsidP="00300820">
      <w:pPr>
        <w:autoSpaceDE w:val="0"/>
        <w:autoSpaceDN w:val="0"/>
        <w:adjustRightInd w:val="0"/>
        <w:spacing w:after="0" w:line="240" w:lineRule="auto"/>
      </w:pPr>
    </w:p>
    <w:p w:rsidR="00300820" w:rsidRDefault="00300820" w:rsidP="00300820">
      <w:pPr>
        <w:autoSpaceDE w:val="0"/>
        <w:autoSpaceDN w:val="0"/>
        <w:adjustRightInd w:val="0"/>
        <w:spacing w:after="0" w:line="240" w:lineRule="auto"/>
      </w:pPr>
      <w:r>
        <w:t xml:space="preserve">Step9; </w:t>
      </w:r>
      <w:r w:rsidR="006C547F">
        <w:t>plot the GO slim terms with “</w:t>
      </w:r>
      <w:proofErr w:type="spellStart"/>
      <w:r w:rsidR="006C547F" w:rsidRPr="006C547F">
        <w:t>GO_all_enrichment_plot</w:t>
      </w:r>
      <w:proofErr w:type="spellEnd"/>
      <w:r w:rsidR="006C547F" w:rsidRPr="006C547F">
        <w:t xml:space="preserve"> - </w:t>
      </w:r>
      <w:proofErr w:type="spellStart"/>
      <w:r w:rsidR="006C547F" w:rsidRPr="006C547F">
        <w:t>all_together</w:t>
      </w:r>
      <w:proofErr w:type="spellEnd"/>
      <w:r w:rsidR="006C547F" w:rsidRPr="006C547F">
        <w:t xml:space="preserve"> - v3.r</w:t>
      </w:r>
      <w:r w:rsidR="006C547F">
        <w:t>"</w:t>
      </w:r>
    </w:p>
    <w:p w:rsidR="00300820" w:rsidRDefault="00300820" w:rsidP="008A41E6">
      <w:pPr>
        <w:autoSpaceDE w:val="0"/>
        <w:autoSpaceDN w:val="0"/>
        <w:adjustRightInd w:val="0"/>
        <w:spacing w:after="0" w:line="240" w:lineRule="auto"/>
      </w:pPr>
    </w:p>
    <w:p w:rsidR="00310878" w:rsidRDefault="00310878" w:rsidP="008A41E6">
      <w:pPr>
        <w:autoSpaceDE w:val="0"/>
        <w:autoSpaceDN w:val="0"/>
        <w:adjustRightInd w:val="0"/>
        <w:spacing w:after="0" w:line="240" w:lineRule="auto"/>
      </w:pPr>
    </w:p>
    <w:p w:rsidR="008230BD" w:rsidRPr="00B7287A" w:rsidRDefault="00310878" w:rsidP="008A41E6">
      <w:pPr>
        <w:autoSpaceDE w:val="0"/>
        <w:autoSpaceDN w:val="0"/>
        <w:adjustRightInd w:val="0"/>
        <w:spacing w:after="0" w:line="240" w:lineRule="auto"/>
        <w:rPr>
          <w:color w:val="808080" w:themeColor="background1" w:themeShade="80"/>
        </w:rPr>
      </w:pPr>
      <w:r w:rsidRPr="00B7287A">
        <w:rPr>
          <w:color w:val="808080" w:themeColor="background1" w:themeShade="80"/>
        </w:rPr>
        <w:t xml:space="preserve">Step </w:t>
      </w:r>
      <w:r w:rsidR="002E65E2" w:rsidRPr="00B7287A">
        <w:rPr>
          <w:color w:val="808080" w:themeColor="background1" w:themeShade="80"/>
        </w:rPr>
        <w:t>8</w:t>
      </w:r>
      <w:r w:rsidR="00300820" w:rsidRPr="00B7287A">
        <w:rPr>
          <w:color w:val="808080" w:themeColor="background1" w:themeShade="80"/>
        </w:rPr>
        <w:t>.2</w:t>
      </w:r>
      <w:r w:rsidRPr="00B7287A">
        <w:rPr>
          <w:color w:val="808080" w:themeColor="background1" w:themeShade="80"/>
        </w:rPr>
        <w:t xml:space="preserve">: </w:t>
      </w:r>
      <w:r w:rsidR="002E65E2" w:rsidRPr="00B7287A">
        <w:rPr>
          <w:color w:val="808080" w:themeColor="background1" w:themeShade="80"/>
        </w:rPr>
        <w:t xml:space="preserve">modify and run R script </w:t>
      </w:r>
      <w:r w:rsidR="00980F67" w:rsidRPr="00B7287A">
        <w:rPr>
          <w:color w:val="808080" w:themeColor="background1" w:themeShade="80"/>
        </w:rPr>
        <w:t>(“</w:t>
      </w:r>
      <w:proofErr w:type="spellStart"/>
      <w:r w:rsidR="00980F67" w:rsidRPr="00B7287A">
        <w:rPr>
          <w:color w:val="808080" w:themeColor="background1" w:themeShade="80"/>
        </w:rPr>
        <w:t>GO_MF_analysis.r</w:t>
      </w:r>
      <w:proofErr w:type="spellEnd"/>
      <w:r w:rsidR="00980F67" w:rsidRPr="00B7287A">
        <w:rPr>
          <w:color w:val="808080" w:themeColor="background1" w:themeShade="80"/>
        </w:rPr>
        <w:t>”, “</w:t>
      </w:r>
      <w:proofErr w:type="spellStart"/>
      <w:r w:rsidR="00980F67" w:rsidRPr="00B7287A">
        <w:rPr>
          <w:color w:val="808080" w:themeColor="background1" w:themeShade="80"/>
        </w:rPr>
        <w:t>GO_BP_analysis.r</w:t>
      </w:r>
      <w:proofErr w:type="spellEnd"/>
      <w:r w:rsidR="00980F67" w:rsidRPr="00B7287A">
        <w:rPr>
          <w:color w:val="808080" w:themeColor="background1" w:themeShade="80"/>
        </w:rPr>
        <w:t>”</w:t>
      </w:r>
      <w:proofErr w:type="gramStart"/>
      <w:r w:rsidR="00980F67" w:rsidRPr="00B7287A">
        <w:rPr>
          <w:color w:val="808080" w:themeColor="background1" w:themeShade="80"/>
        </w:rPr>
        <w:t>,  “</w:t>
      </w:r>
      <w:proofErr w:type="spellStart"/>
      <w:proofErr w:type="gramEnd"/>
      <w:r w:rsidR="00980F67" w:rsidRPr="00B7287A">
        <w:rPr>
          <w:color w:val="808080" w:themeColor="background1" w:themeShade="80"/>
        </w:rPr>
        <w:t>GO_CC_analysis.r</w:t>
      </w:r>
      <w:proofErr w:type="spellEnd"/>
      <w:r w:rsidR="00980F67" w:rsidRPr="00B7287A">
        <w:rPr>
          <w:color w:val="808080" w:themeColor="background1" w:themeShade="80"/>
        </w:rPr>
        <w:t xml:space="preserve">”) </w:t>
      </w:r>
      <w:r w:rsidR="002E65E2" w:rsidRPr="00B7287A">
        <w:rPr>
          <w:color w:val="808080" w:themeColor="background1" w:themeShade="80"/>
        </w:rPr>
        <w:t xml:space="preserve">for </w:t>
      </w:r>
      <w:r w:rsidR="006D39F3" w:rsidRPr="00B7287A">
        <w:rPr>
          <w:color w:val="808080" w:themeColor="background1" w:themeShade="80"/>
        </w:rPr>
        <w:t xml:space="preserve">GO enrichment analysis based on </w:t>
      </w:r>
      <w:r w:rsidR="008230BD" w:rsidRPr="00B7287A">
        <w:rPr>
          <w:color w:val="808080" w:themeColor="background1" w:themeShade="80"/>
        </w:rPr>
        <w:t xml:space="preserve">DEGs </w:t>
      </w:r>
      <w:r w:rsidR="006D39F3" w:rsidRPr="00B7287A">
        <w:rPr>
          <w:color w:val="808080" w:themeColor="background1" w:themeShade="80"/>
        </w:rPr>
        <w:t>results of</w:t>
      </w:r>
      <w:r w:rsidR="008230BD" w:rsidRPr="00B7287A">
        <w:rPr>
          <w:color w:val="808080" w:themeColor="background1" w:themeShade="80"/>
        </w:rPr>
        <w:t xml:space="preserve"> DEseq2</w:t>
      </w:r>
      <w:r w:rsidR="002E65E2" w:rsidRPr="00B7287A">
        <w:rPr>
          <w:color w:val="808080" w:themeColor="background1" w:themeShade="80"/>
        </w:rPr>
        <w:t>;</w:t>
      </w:r>
    </w:p>
    <w:p w:rsidR="008230BD" w:rsidRPr="00B7287A" w:rsidRDefault="008230BD" w:rsidP="008A41E6">
      <w:pPr>
        <w:autoSpaceDE w:val="0"/>
        <w:autoSpaceDN w:val="0"/>
        <w:adjustRightInd w:val="0"/>
        <w:spacing w:after="0" w:line="240" w:lineRule="auto"/>
        <w:rPr>
          <w:color w:val="808080" w:themeColor="background1" w:themeShade="80"/>
        </w:rPr>
      </w:pPr>
    </w:p>
    <w:p w:rsidR="008230BD" w:rsidRPr="00B7287A" w:rsidRDefault="008230BD" w:rsidP="008A41E6">
      <w:pPr>
        <w:autoSpaceDE w:val="0"/>
        <w:autoSpaceDN w:val="0"/>
        <w:adjustRightInd w:val="0"/>
        <w:spacing w:after="0" w:line="240" w:lineRule="auto"/>
        <w:rPr>
          <w:color w:val="808080" w:themeColor="background1" w:themeShade="80"/>
        </w:rPr>
      </w:pPr>
      <w:r w:rsidRPr="00B7287A">
        <w:rPr>
          <w:color w:val="808080" w:themeColor="background1" w:themeShade="80"/>
        </w:rPr>
        <w:t>Step</w:t>
      </w:r>
      <w:r w:rsidR="002E65E2" w:rsidRPr="00B7287A">
        <w:rPr>
          <w:color w:val="808080" w:themeColor="background1" w:themeShade="80"/>
        </w:rPr>
        <w:t xml:space="preserve"> 9</w:t>
      </w:r>
      <w:r w:rsidR="00300820" w:rsidRPr="00B7287A">
        <w:rPr>
          <w:color w:val="808080" w:themeColor="background1" w:themeShade="80"/>
        </w:rPr>
        <w:t>.2</w:t>
      </w:r>
      <w:r w:rsidR="002E65E2" w:rsidRPr="00B7287A">
        <w:rPr>
          <w:color w:val="808080" w:themeColor="background1" w:themeShade="80"/>
        </w:rPr>
        <w:t>:</w:t>
      </w:r>
      <w:r w:rsidRPr="00B7287A">
        <w:rPr>
          <w:color w:val="808080" w:themeColor="background1" w:themeShade="80"/>
        </w:rPr>
        <w:t xml:space="preserve"> combine all GO enrichment results with </w:t>
      </w:r>
      <w:proofErr w:type="spellStart"/>
      <w:r w:rsidRPr="00B7287A">
        <w:rPr>
          <w:color w:val="808080" w:themeColor="background1" w:themeShade="80"/>
        </w:rPr>
        <w:t>perl</w:t>
      </w:r>
      <w:proofErr w:type="spellEnd"/>
      <w:r w:rsidRPr="00B7287A">
        <w:rPr>
          <w:color w:val="808080" w:themeColor="background1" w:themeShade="80"/>
        </w:rPr>
        <w:t xml:space="preserve"> script</w:t>
      </w:r>
      <w:r w:rsidR="002E65E2" w:rsidRPr="00B7287A">
        <w:rPr>
          <w:color w:val="808080" w:themeColor="background1" w:themeShade="80"/>
        </w:rPr>
        <w:t xml:space="preserve">, “combine_GO_MF_p001_size10.pl”, </w:t>
      </w:r>
      <w:r w:rsidR="00F36A6E" w:rsidRPr="00B7287A">
        <w:rPr>
          <w:color w:val="808080" w:themeColor="background1" w:themeShade="80"/>
        </w:rPr>
        <w:t>“combine_GO_BP_p001_size10.pl”, “combine_GO_CC_p001_size10.pl”;</w:t>
      </w:r>
      <w:r w:rsidR="00FE63C5" w:rsidRPr="00B7287A">
        <w:rPr>
          <w:color w:val="808080" w:themeColor="background1" w:themeShade="80"/>
        </w:rPr>
        <w:t xml:space="preserve"> </w:t>
      </w:r>
    </w:p>
    <w:p w:rsidR="008230BD" w:rsidRPr="00B7287A" w:rsidRDefault="008230BD" w:rsidP="008A41E6">
      <w:pPr>
        <w:autoSpaceDE w:val="0"/>
        <w:autoSpaceDN w:val="0"/>
        <w:adjustRightInd w:val="0"/>
        <w:spacing w:after="0" w:line="240" w:lineRule="auto"/>
        <w:rPr>
          <w:color w:val="808080" w:themeColor="background1" w:themeShade="80"/>
        </w:rPr>
      </w:pPr>
    </w:p>
    <w:p w:rsidR="00F36A6E" w:rsidRPr="00B7287A" w:rsidRDefault="008230BD" w:rsidP="008A41E6">
      <w:pPr>
        <w:autoSpaceDE w:val="0"/>
        <w:autoSpaceDN w:val="0"/>
        <w:adjustRightInd w:val="0"/>
        <w:spacing w:after="0" w:line="240" w:lineRule="auto"/>
        <w:rPr>
          <w:color w:val="808080" w:themeColor="background1" w:themeShade="80"/>
        </w:rPr>
      </w:pPr>
      <w:r w:rsidRPr="00B7287A">
        <w:rPr>
          <w:color w:val="808080" w:themeColor="background1" w:themeShade="80"/>
        </w:rPr>
        <w:t xml:space="preserve">Step </w:t>
      </w:r>
      <w:r w:rsidR="002E65E2" w:rsidRPr="00B7287A">
        <w:rPr>
          <w:color w:val="808080" w:themeColor="background1" w:themeShade="80"/>
        </w:rPr>
        <w:t>10</w:t>
      </w:r>
      <w:r w:rsidR="00300820" w:rsidRPr="00B7287A">
        <w:rPr>
          <w:color w:val="808080" w:themeColor="background1" w:themeShade="80"/>
        </w:rPr>
        <w:t>.2</w:t>
      </w:r>
      <w:r w:rsidR="002E65E2" w:rsidRPr="00B7287A">
        <w:rPr>
          <w:color w:val="808080" w:themeColor="background1" w:themeShade="80"/>
        </w:rPr>
        <w:t>:</w:t>
      </w:r>
      <w:r w:rsidR="00F36A6E" w:rsidRPr="00B7287A">
        <w:rPr>
          <w:color w:val="808080" w:themeColor="background1" w:themeShade="80"/>
        </w:rPr>
        <w:t xml:space="preserve"> </w:t>
      </w:r>
      <w:r w:rsidRPr="00B7287A">
        <w:rPr>
          <w:color w:val="808080" w:themeColor="background1" w:themeShade="80"/>
        </w:rPr>
        <w:t xml:space="preserve">select </w:t>
      </w:r>
      <w:r w:rsidR="006C547F" w:rsidRPr="00B7287A">
        <w:rPr>
          <w:color w:val="808080" w:themeColor="background1" w:themeShade="80"/>
        </w:rPr>
        <w:t xml:space="preserve">only the </w:t>
      </w:r>
      <w:proofErr w:type="spellStart"/>
      <w:r w:rsidRPr="00B7287A">
        <w:rPr>
          <w:color w:val="808080" w:themeColor="background1" w:themeShade="80"/>
        </w:rPr>
        <w:t>GO_slim</w:t>
      </w:r>
      <w:proofErr w:type="spellEnd"/>
      <w:r w:rsidRPr="00B7287A">
        <w:rPr>
          <w:color w:val="808080" w:themeColor="background1" w:themeShade="80"/>
        </w:rPr>
        <w:t xml:space="preserve"> </w:t>
      </w:r>
      <w:r w:rsidR="00F36A6E" w:rsidRPr="00B7287A">
        <w:rPr>
          <w:color w:val="808080" w:themeColor="background1" w:themeShade="80"/>
        </w:rPr>
        <w:t>terms</w:t>
      </w:r>
      <w:r w:rsidRPr="00B7287A">
        <w:rPr>
          <w:color w:val="808080" w:themeColor="background1" w:themeShade="80"/>
        </w:rPr>
        <w:t xml:space="preserve"> to plot</w:t>
      </w:r>
      <w:r w:rsidR="00F36A6E" w:rsidRPr="00B7287A">
        <w:rPr>
          <w:color w:val="808080" w:themeColor="background1" w:themeShade="80"/>
        </w:rPr>
        <w:t xml:space="preserve"> with R script “</w:t>
      </w:r>
      <w:proofErr w:type="spellStart"/>
      <w:r w:rsidR="00F36A6E" w:rsidRPr="00B7287A">
        <w:rPr>
          <w:color w:val="808080" w:themeColor="background1" w:themeShade="80"/>
        </w:rPr>
        <w:t>GO_slim_filter_bubblePlot.r</w:t>
      </w:r>
      <w:proofErr w:type="spellEnd"/>
      <w:r w:rsidR="00F36A6E" w:rsidRPr="00B7287A">
        <w:rPr>
          <w:color w:val="808080" w:themeColor="background1" w:themeShade="80"/>
        </w:rPr>
        <w:t xml:space="preserve">” based on </w:t>
      </w:r>
      <w:proofErr w:type="spellStart"/>
      <w:r w:rsidR="00F36A6E" w:rsidRPr="00B7287A">
        <w:rPr>
          <w:color w:val="808080" w:themeColor="background1" w:themeShade="80"/>
        </w:rPr>
        <w:t>GO_slim</w:t>
      </w:r>
      <w:proofErr w:type="spellEnd"/>
      <w:r w:rsidR="00F36A6E" w:rsidRPr="00B7287A">
        <w:rPr>
          <w:color w:val="808080" w:themeColor="background1" w:themeShade="80"/>
        </w:rPr>
        <w:t xml:space="preserve"> defined by </w:t>
      </w:r>
      <w:proofErr w:type="spellStart"/>
      <w:r w:rsidR="00F36A6E" w:rsidRPr="00B7287A">
        <w:rPr>
          <w:color w:val="808080" w:themeColor="background1" w:themeShade="80"/>
        </w:rPr>
        <w:t>AspGD</w:t>
      </w:r>
      <w:proofErr w:type="spellEnd"/>
      <w:r w:rsidR="00F36A6E" w:rsidRPr="00B7287A">
        <w:rPr>
          <w:color w:val="808080" w:themeColor="background1" w:themeShade="80"/>
        </w:rPr>
        <w:t xml:space="preserve"> database “GO_slim_AspGD.xls”; </w:t>
      </w:r>
    </w:p>
    <w:p w:rsidR="008A41E6" w:rsidRPr="00B7287A" w:rsidRDefault="008A41E6" w:rsidP="008A41E6">
      <w:pPr>
        <w:rPr>
          <w:color w:val="808080" w:themeColor="background1" w:themeShade="80"/>
        </w:rPr>
      </w:pPr>
    </w:p>
    <w:sectPr w:rsidR="008A41E6" w:rsidRPr="00B72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FA"/>
    <w:rsid w:val="00050817"/>
    <w:rsid w:val="000C06A5"/>
    <w:rsid w:val="000D25F4"/>
    <w:rsid w:val="001E62FA"/>
    <w:rsid w:val="002E65E2"/>
    <w:rsid w:val="002E7595"/>
    <w:rsid w:val="00300820"/>
    <w:rsid w:val="00310878"/>
    <w:rsid w:val="00337DE3"/>
    <w:rsid w:val="004A01C6"/>
    <w:rsid w:val="004C6FC1"/>
    <w:rsid w:val="004F22DC"/>
    <w:rsid w:val="005134EB"/>
    <w:rsid w:val="006C547F"/>
    <w:rsid w:val="006D39F3"/>
    <w:rsid w:val="00775378"/>
    <w:rsid w:val="008230BD"/>
    <w:rsid w:val="008946A3"/>
    <w:rsid w:val="0089796D"/>
    <w:rsid w:val="008A41E6"/>
    <w:rsid w:val="008D0C63"/>
    <w:rsid w:val="00980F67"/>
    <w:rsid w:val="009F29DC"/>
    <w:rsid w:val="00A32EF7"/>
    <w:rsid w:val="00AC077F"/>
    <w:rsid w:val="00AE45E6"/>
    <w:rsid w:val="00B341B4"/>
    <w:rsid w:val="00B7287A"/>
    <w:rsid w:val="00B729B2"/>
    <w:rsid w:val="00C72FF2"/>
    <w:rsid w:val="00DB218E"/>
    <w:rsid w:val="00F36A6E"/>
    <w:rsid w:val="00F43B89"/>
    <w:rsid w:val="00F5671C"/>
    <w:rsid w:val="00FE6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FB9A"/>
  <w15:chartTrackingRefBased/>
  <w15:docId w15:val="{C156FF7E-EEEF-45A7-8273-4A5D7239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C1"/>
    <w:rPr>
      <w:color w:val="0563C1" w:themeColor="hyperlink"/>
      <w:u w:val="single"/>
    </w:rPr>
  </w:style>
  <w:style w:type="paragraph" w:styleId="NormalWeb">
    <w:name w:val="Normal (Web)"/>
    <w:basedOn w:val="Normal"/>
    <w:uiPriority w:val="99"/>
    <w:unhideWhenUsed/>
    <w:rsid w:val="00DB218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3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Peng</dc:creator>
  <cp:keywords/>
  <dc:description/>
  <cp:lastModifiedBy>Mao Peng</cp:lastModifiedBy>
  <cp:revision>19</cp:revision>
  <dcterms:created xsi:type="dcterms:W3CDTF">2021-03-02T20:03:00Z</dcterms:created>
  <dcterms:modified xsi:type="dcterms:W3CDTF">2021-03-31T06:56:00Z</dcterms:modified>
</cp:coreProperties>
</file>