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Gen-Health Analytics — Assessment Response</w:t>
      </w:r>
    </w:p>
    <w:p/>
    <w:p>
      <w:pPr>
        <w:pStyle w:val="Heading1"/>
      </w:pPr>
      <w:r>
        <w:t>Task 1: Research Methodology and Data Collection Plan</w:t>
      </w:r>
    </w:p>
    <w:p>
      <w:pPr>
        <w:pStyle w:val="Heading2"/>
      </w:pPr>
      <w:r>
        <w:t>LO2: Justify the selection of appropriate research methods for data collection and solution development to address a specific project challenge in a professional context.</w:t>
      </w:r>
    </w:p>
    <w:p/>
    <w:p>
      <w:pPr>
        <w:pStyle w:val="Heading2"/>
      </w:pPr>
      <w:r>
        <w:t>Research Question</w:t>
      </w:r>
    </w:p>
    <w:p>
      <w:r>
        <w:rPr>
          <w:i/>
        </w:rPr>
        <w:t>How can multi-generational family medical history be computationally analyzed to distinguish hereditary risk from shared lifestyle risk in cardiovascular disease, type 2 diabetes, and hereditary cancers?</w:t>
      </w:r>
    </w:p>
    <w:p/>
    <w:p>
      <w:pPr>
        <w:pStyle w:val="Heading2"/>
      </w:pPr>
      <w:r>
        <w:t>Selected Research Methods</w:t>
      </w:r>
    </w:p>
    <w:p>
      <w:r>
        <w:t>This project uses a mixed quantitative methodology combining secondary data analysis, statistical modelling, and rule-based clinical knowledge encoding. The methods were selected because they directly mirror the evidence-based approaches used in clinical genetics and preventive health informatics.</w:t>
      </w:r>
    </w:p>
    <w:p/>
    <w:tbl>
      <w:tblPr>
        <w:tblStyle w:val="TableGrid"/>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Application in the Project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Quantitative / data-driven analysis</w:t>
            </w:r>
          </w:p>
        </w:tc>
        <w:tc>
          <w:tcPr>
            <w:tcW w:type="dxa" w:w="4320"/>
          </w:tcPr>
          <w:p>
            <w:r>
              <w:t>Relative risk (RR) ratios were computed from two large epidemiological datasets: BRFSS 2015 (253,680 respondents) for diabetes, and EarlyMed (70,000 rows) for cardiovascular disease.</w:t>
            </w:r>
          </w:p>
        </w:tc>
      </w:tr>
      <w:tr>
        <w:tc>
          <w:tcPr>
            <w:tcW w:type="dxa" w:w="4320"/>
          </w:tcPr>
          <w:p>
            <w:r>
              <w:t>Secondary data analysis</w:t>
            </w:r>
          </w:p>
        </w:tc>
        <w:tc>
          <w:tcPr>
            <w:tcW w:type="dxa" w:w="4320"/>
          </w:tcPr>
          <w:p>
            <w:r>
              <w:t>Pre-derived constants (population base rates, lifestyle RR weights, CVD family history multiplier) were extracted offline from the source CSVs and stored in benchmarks.py. The raw datasets are not re-read at runtime — a standard practice in production health informatics to reduce latency and avoid re-deriving results from shifting data.</w:t>
            </w:r>
          </w:p>
        </w:tc>
      </w:tr>
      <w:tr>
        <w:tc>
          <w:tcPr>
            <w:tcW w:type="dxa" w:w="4320"/>
          </w:tcPr>
          <w:p>
            <w:r>
              <w:t>Rule-based / clinical guidelines encoding</w:t>
            </w:r>
          </w:p>
        </w:tc>
        <w:tc>
          <w:tcPr>
            <w:tcW w:type="dxa" w:w="4320"/>
          </w:tcPr>
          <w:p>
            <w:r>
              <w:t>Cancer risk assessment uses NCCN Clinical Practice Guidelines in Oncology v2.2024. Red-flag criteria (BRCA1/2, Lynch syndrome) are encoded directly as structured rules — the same criteria applied by genetic counsellors in clinical practice.</w:t>
            </w:r>
          </w:p>
        </w:tc>
      </w:tr>
      <w:tr>
        <w:tc>
          <w:tcPr>
            <w:tcW w:type="dxa" w:w="4320"/>
          </w:tcPr>
          <w:p>
            <w:r>
              <w:t>Regression analysis (OLS)</w:t>
            </w:r>
          </w:p>
        </w:tc>
        <w:tc>
          <w:tcPr>
            <w:tcW w:type="dxa" w:w="4320"/>
          </w:tcPr>
          <w:p>
            <w:r>
              <w:t>Ordinary Least Squares regression is applied over (generation_index, age_of_onset) pairs to detect whether a condition is appearing at progressively younger ages across generations. Classified as: strongly_accelerating / accelerating / stable / decelerating. Requires data from ≥ 2 generations.</w:t>
            </w:r>
          </w:p>
        </w:tc>
      </w:tr>
      <w:tr>
        <w:tc>
          <w:tcPr>
            <w:tcW w:type="dxa" w:w="4320"/>
          </w:tcPr>
          <w:p>
            <w:r>
              <w:t>Risk modelling — Diabetes Pedigree Function (DPF) proxy</w:t>
            </w:r>
          </w:p>
        </w:tc>
        <w:tc>
          <w:tcPr>
            <w:tcW w:type="dxa" w:w="4320"/>
          </w:tcPr>
          <w:p>
            <w:r>
              <w:t>A DPF proxy score is synthesised from the number and closeness of relatives with diabetes (first-degree relatives weighted higher). The proxy is mapped to observed outcome rates per DPF quantile band from the Pima Indians dataset.</w:t>
            </w:r>
          </w:p>
        </w:tc>
      </w:tr>
      <w:tr>
        <w:tc>
          <w:tcPr>
            <w:tcW w:type="dxa" w:w="4320"/>
          </w:tcPr>
          <w:p>
            <w:r>
              <w:t>Lifestyle attribution modelling</w:t>
            </w:r>
          </w:p>
        </w:tc>
        <w:tc>
          <w:tcPr>
            <w:tcW w:type="dxa" w:w="4320"/>
          </w:tcPr>
          <w:p>
            <w:r>
              <w:t>For diabetes and heart disease, the engine computes what fraction of familial risk is explained by shared lifestyle flags (smoking, obesity, high BP, etc.) among affected relatives, separating genetic predisposition from environmental/lifestyle risk.</w:t>
            </w:r>
          </w:p>
        </w:tc>
      </w:tr>
    </w:tbl>
    <w:p/>
    <w:p>
      <w:pPr>
        <w:pStyle w:val="Heading2"/>
      </w:pPr>
      <w:r>
        <w:t>Data Collection, Organisation, and Analysis</w:t>
      </w:r>
    </w:p>
    <w:p>
      <w:pPr>
        <w:pStyle w:val="Heading3"/>
      </w:pPr>
      <w:r>
        <w:t>Data Sources</w:t>
      </w:r>
    </w:p>
    <w:p>
      <w:pPr>
        <w:pStyle w:val="ListBullet"/>
      </w:pPr>
      <w:r>
        <w:rPr>
          <w:b/>
        </w:rPr>
        <w:t>BRFSS 2015 diabetes survey</w:t>
      </w:r>
      <w:r>
        <w:t xml:space="preserve"> (diabetes_012_health_indicators_BRFSS2015.csv) — 253,680 respondents. Used to derive the diabetes population base rate (15.76%) and lifestyle relative risk weights (HighBP, HighChol, Smoker, PhysInactivity, etc.).</w:t>
      </w:r>
    </w:p>
    <w:p>
      <w:pPr>
        <w:pStyle w:val="ListBullet"/>
      </w:pPr>
      <w:r>
        <w:rPr>
          <w:b/>
        </w:rPr>
        <w:t>EarlyMed heart disease dataset</w:t>
      </w:r>
      <w:r>
        <w:t xml:space="preserve"> (heart_disease_risk_dataset_earlymed.csv) — 70,000 rows. Used to derive the CVD population base rate (30.21%), the family history RR multiplier (2.316), and CVD lifestyle weights.</w:t>
      </w:r>
    </w:p>
    <w:p>
      <w:pPr>
        <w:pStyle w:val="ListBullet"/>
      </w:pPr>
      <w:r>
        <w:rPr>
          <w:b/>
        </w:rPr>
        <w:t>Pima Indians diabetes dataset</w:t>
      </w:r>
      <w:r>
        <w:t xml:space="preserve"> (diabetes.csv) — source for the Diabetes Pedigree Function risk band outcome rates.</w:t>
      </w:r>
    </w:p>
    <w:p>
      <w:pPr>
        <w:pStyle w:val="ListBullet"/>
      </w:pPr>
      <w:r>
        <w:rPr>
          <w:b/>
        </w:rPr>
        <w:t>NCCN Clinical Practice Guidelines v2.2024</w:t>
      </w:r>
      <w:r>
        <w:t xml:space="preserve"> — encoded as structured rule sets for hereditary breast/ovarian and colorectal cancer criteria.</w:t>
      </w:r>
    </w:p>
    <w:p>
      <w:pPr>
        <w:pStyle w:val="ListBullet"/>
      </w:pPr>
      <w:r>
        <w:rPr>
          <w:b/>
        </w:rPr>
        <w:t>AHA / ACC / ADA published guidelines</w:t>
      </w:r>
      <w:r>
        <w:t xml:space="preserve"> — clinical thresholds for early-onset CVD (before 55 for males, 65 for females), cholesterol, and blood pressure cutoffs.</w:t>
      </w:r>
    </w:p>
    <w:p/>
    <w:p>
      <w:pPr>
        <w:pStyle w:val="Heading3"/>
      </w:pPr>
      <w:r>
        <w:t>Data Organisation</w:t>
      </w:r>
    </w:p>
    <w:p>
      <w:r>
        <w:t>All numeric constants derived from the datasets are centralised in engine/benchmarks.py, organised by disease category. This separation of concerns means the datasets are offline reference material — not live inputs — which aligns with clinical informatics best practice for reproducibility and auditability.</w:t>
      </w:r>
    </w:p>
    <w:p>
      <w:pPr>
        <w:pStyle w:val="Heading3"/>
      </w:pPr>
      <w:r>
        <w:t>Data Analysis</w:t>
      </w:r>
    </w:p>
    <w:p>
      <w:r>
        <w:t>Input family history data is validated and parsed into structured Python objects (FamilyInput, FamilyMember, ConditionRecord). The risk scoring engine then routes each condition to the appropriate detector (hereditary_detector.py), computes onset trends (onset_trend.py), separates lifestyle attribution (lifestyle_filter.py), and assembles prioritised clinical alerts (alert_builder.py). All results are output as structured JSON.</w:t>
      </w:r>
    </w:p>
    <w:p/>
    <w:p>
      <w:pPr>
        <w:pStyle w:val="Heading2"/>
      </w:pPr>
      <w:r>
        <w:t>Justification of Methods</w:t>
      </w:r>
    </w:p>
    <w:p>
      <w:r>
        <w:t>The chosen methods are appropriate for this project context for the following reasons:</w:t>
      </w:r>
    </w:p>
    <w:p>
      <w:pPr>
        <w:pStyle w:val="ListNumber"/>
      </w:pPr>
      <w:r>
        <w:rPr>
          <w:b/>
        </w:rPr>
        <w:t xml:space="preserve">Clinical validity: </w:t>
      </w:r>
      <w:r>
        <w:t>The RR weights are derived from nationally representative, peer-reviewed survey data (BRFSS, EarlyMed). The cancer rules replicate the exact criteria used by genetic counsellors under NCCN guidelines — the same standard applied in hospital genetics clinics.</w:t>
      </w:r>
    </w:p>
    <w:p>
      <w:pPr>
        <w:pStyle w:val="ListNumber"/>
      </w:pPr>
      <w:r>
        <w:rPr>
          <w:b/>
        </w:rPr>
        <w:t xml:space="preserve">Scale and representativeness: </w:t>
      </w:r>
      <w:r>
        <w:t>The datasets contain hundreds of thousands of real patient records, providing statistically robust base rates rather than relying on small or convenience samples.</w:t>
      </w:r>
    </w:p>
    <w:p>
      <w:pPr>
        <w:pStyle w:val="ListNumber"/>
      </w:pPr>
      <w:r>
        <w:rPr>
          <w:b/>
        </w:rPr>
        <w:t xml:space="preserve">Fitness for purpose: </w:t>
      </w:r>
      <w:r>
        <w:t>OLS regression is a standard epidemiological method for detecting trends in onset age across generations. The DPF proxy is a validated surrogate used in clinical diabetes risk literature. Both are interpretable and explainable — critical for a tool intended to support clinical conversations, not replace them.</w:t>
      </w:r>
    </w:p>
    <w:p>
      <w:pPr>
        <w:pStyle w:val="ListNumber"/>
      </w:pPr>
      <w:r>
        <w:rPr>
          <w:b/>
        </w:rPr>
        <w:t xml:space="preserve">Separation of genetic vs lifestyle risk: </w:t>
      </w:r>
      <w:r>
        <w:t>The lifestyle attribution model addresses a core limitation of many family history tools, which conflate inherited risk with shared environmental exposure. This methodological choice directly supports the project's research question.</w:t>
      </w:r>
    </w:p>
    <w:p/>
    <w:p>
      <w:r>
        <w:br w:type="page"/>
      </w:r>
    </w:p>
    <w:p>
      <w:pPr>
        <w:pStyle w:val="Heading1"/>
      </w:pPr>
      <w:r>
        <w:t>Task 2: Project Proposal and Research Design</w:t>
      </w:r>
    </w:p>
    <w:p>
      <w:pPr>
        <w:pStyle w:val="Heading2"/>
      </w:pPr>
      <w:r>
        <w:t>LO5: Apply industry insights and team dynamics to develop a solution for a practical project problem within a professional context.</w:t>
      </w:r>
    </w:p>
    <w:p/>
    <w:p>
      <w:pPr>
        <w:pStyle w:val="Heading2"/>
      </w:pPr>
      <w:r>
        <w:t>Industry Context</w:t>
      </w:r>
    </w:p>
    <w:p>
      <w:r>
        <w:t>Gen-Health Analytics operates at the intersection of three professional fields:</w:t>
      </w:r>
    </w:p>
    <w:p>
      <w:pPr>
        <w:pStyle w:val="ListBullet"/>
      </w:pPr>
      <w:r>
        <w:rPr>
          <w:b/>
        </w:rPr>
        <w:t xml:space="preserve">Preventive health informatics: </w:t>
      </w:r>
      <w:r>
        <w:t>Digital tools that help identify disease risk before clinical onset. Industry standard frameworks (NCCN, AHA/ACC, ADA) are embedded directly in the engine.</w:t>
      </w:r>
    </w:p>
    <w:p>
      <w:pPr>
        <w:pStyle w:val="ListBullet"/>
      </w:pPr>
      <w:r>
        <w:rPr>
          <w:b/>
        </w:rPr>
        <w:t xml:space="preserve">Clinical genetics: </w:t>
      </w:r>
      <w:r>
        <w:t>Hereditary cancer assessment and familial risk scoring are established clinical disciplines. The tool replicates the triage logic used by genetic counsellors, positioning itself as a pre-referral layer — not a replacement for clinical judgement.</w:t>
      </w:r>
    </w:p>
    <w:p>
      <w:pPr>
        <w:pStyle w:val="ListBullet"/>
      </w:pPr>
      <w:r>
        <w:rPr>
          <w:b/>
        </w:rPr>
        <w:t xml:space="preserve">Digital health / health technology: </w:t>
      </w:r>
      <w:r>
        <w:t>The Streamlit dashboard follows current industry practice for rapid, no-server-required clinical decision support tools. JSON-based input/output contracts support integration with EHR systems or patient portals.</w:t>
      </w:r>
    </w:p>
    <w:p/>
    <w:p>
      <w:pPr>
        <w:pStyle w:val="Heading2"/>
      </w:pPr>
      <w:r>
        <w:t>Collaboration, Stakeholder Interaction, and Team Dynamics</w:t>
      </w:r>
    </w:p>
    <w:p>
      <w:r>
        <w:t>The solution was designed around three primary stakeholder groups, each shaping different aspects of the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Role in the Project</w:t>
            </w:r>
          </w:p>
        </w:tc>
        <w:tc>
          <w:tcPr>
            <w:tcW w:type="dxa" w:w="2880"/>
          </w:tcPr>
          <w:p>
            <w:r>
              <w:rPr>
                <w:b/>
              </w:rPr>
              <w:t>How They Shaped the Solution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Patient / Proband</w:t>
            </w:r>
          </w:p>
        </w:tc>
        <w:tc>
          <w:tcPr>
            <w:tcW w:type="dxa" w:w="2880"/>
          </w:tcPr>
          <w:p>
            <w:r>
              <w:t>Primary end-user</w:t>
            </w:r>
          </w:p>
        </w:tc>
        <w:tc>
          <w:tcPr>
            <w:tcW w:type="dxa" w:w="2880"/>
          </w:tcPr>
          <w:p>
            <w:r>
              <w:t>The data entry interface (Streamlit form) is designed for non-clinical users. Plain-English alerts and a genogram (family tree diagram) make risk output accessible without clinical training.</w:t>
            </w:r>
          </w:p>
        </w:tc>
      </w:tr>
      <w:tr>
        <w:tc>
          <w:tcPr>
            <w:tcW w:type="dxa" w:w="2880"/>
          </w:tcPr>
          <w:p>
            <w:r>
              <w:t>General Practitioner (GP)</w:t>
            </w:r>
          </w:p>
        </w:tc>
        <w:tc>
          <w:tcPr>
            <w:tcW w:type="dxa" w:w="2880"/>
          </w:tcPr>
          <w:p>
            <w:r>
              <w:t>Secondary consumer of output</w:t>
            </w:r>
          </w:p>
        </w:tc>
        <w:tc>
          <w:tcPr>
            <w:tcW w:type="dxa" w:w="2880"/>
          </w:tcPr>
          <w:p>
            <w:r>
              <w:t>The recommended actions in every alert are written as specific clinical steps a GP can act on (e.g. "request HbA1c and fasting glucose", "refer to genetic counsellor"). This reflects how industry tools are designed for GP-patient consultation contexts.</w:t>
            </w:r>
          </w:p>
        </w:tc>
      </w:tr>
      <w:tr>
        <w:tc>
          <w:tcPr>
            <w:tcW w:type="dxa" w:w="2880"/>
          </w:tcPr>
          <w:p>
            <w:r>
              <w:t>Genetic Counsellor / Specialist</w:t>
            </w:r>
          </w:p>
        </w:tc>
        <w:tc>
          <w:tcPr>
            <w:tcW w:type="dxa" w:w="2880"/>
          </w:tcPr>
          <w:p>
            <w:r>
              <w:t>Validation reference</w:t>
            </w:r>
          </w:p>
        </w:tc>
        <w:tc>
          <w:tcPr>
            <w:tcW w:type="dxa" w:w="2880"/>
          </w:tcPr>
          <w:p>
            <w:r>
              <w:t>NCCN criteria and AHA/ACC guidelines — the same standards used in specialist practice — were encoded as the rule base. The tool acts as a pre-referral triage layer, flagging patients who meet clinical referral thresholds.</w:t>
            </w:r>
          </w:p>
        </w:tc>
      </w:tr>
    </w:tbl>
    <w:p/>
    <w:p>
      <w:pPr>
        <w:pStyle w:val="Heading2"/>
      </w:pPr>
      <w:r>
        <w:t>Solution Structure and Progression</w:t>
      </w:r>
    </w:p>
    <w:p>
      <w:r>
        <w:t>The solution is structured in three layers, each independently testable:</w:t>
      </w:r>
    </w:p>
    <w:p>
      <w:pPr>
        <w:pStyle w:val="ListNumber"/>
      </w:pPr>
      <w:r>
        <w:rPr>
          <w:b/>
        </w:rPr>
        <w:t xml:space="preserve">Engine layer (engine/) — </w:t>
      </w:r>
      <w:r>
        <w:t>Pure Python. Validates input, runs risk scoring, produces JSON output. No UI dependency — can be called from CLI, API, or integrated into an EHR pipeline. Fully unit-testable in isolation.</w:t>
      </w:r>
    </w:p>
    <w:p>
      <w:pPr>
        <w:pStyle w:val="ListNumber"/>
      </w:pPr>
      <w:r>
        <w:rPr>
          <w:b/>
        </w:rPr>
        <w:t xml:space="preserve">UI layer (app.py, Streamlit) — </w:t>
      </w:r>
      <w:r>
        <w:t>Interactive web dashboard with: data entry form (proband + family members), risk gauge visualisations, genogram (clinical pedigree diagram), onset trend charts, and prioritised clinical alerts. Built on Streamlit for zero-server deployment.</w:t>
      </w:r>
    </w:p>
    <w:p>
      <w:pPr>
        <w:pStyle w:val="ListNumber"/>
      </w:pPr>
      <w:r>
        <w:rPr>
          <w:b/>
        </w:rPr>
        <w:t xml:space="preserve">Test layer (tests/) — </w:t>
      </w:r>
      <w:r>
        <w:t>Playwright UI tests verify end-to-end user flows and regression scenarios. pytest.ini configures test discovery and reporting.</w:t>
      </w:r>
    </w:p>
    <w:p>
      <w:r>
        <w:t>The engine was completed first, establishing a stable JSON contract (schemas/input_schema.json, schemas/output_schema.json) before any UI work began. This decoupling is standard industry practice for health informatics tools, where the clinical logic must be validated independently of the presentation layer.</w:t>
      </w:r>
    </w:p>
    <w:p/>
    <w:p>
      <w:pPr>
        <w:pStyle w:val="Heading2"/>
      </w:pPr>
      <w:r>
        <w:t>Industry Relevance and Implementation Feasibility</w:t>
      </w:r>
    </w:p>
    <w:p>
      <w:pPr>
        <w:pStyle w:val="ListBullet"/>
      </w:pPr>
      <w:r>
        <w:rPr>
          <w:b/>
        </w:rPr>
        <w:t xml:space="preserve">Grounded in validated datasets and guidelines: </w:t>
      </w:r>
      <w:r>
        <w:t>All risk constants derive from published, large-scale epidemiological sources. Cancer rules replicate NCCN v2.2024 — the current clinical standard.</w:t>
      </w:r>
    </w:p>
    <w:p>
      <w:pPr>
        <w:pStyle w:val="ListBullet"/>
      </w:pPr>
      <w:r>
        <w:rPr>
          <w:b/>
        </w:rPr>
        <w:t xml:space="preserve">No runtime data dependency: </w:t>
      </w:r>
      <w:r>
        <w:t>Pre-derived constants in benchmarks.py mean the engine runs offline with no external API calls or database queries — a deliberate design choice for reliability in clinical settings.</w:t>
      </w:r>
    </w:p>
    <w:p>
      <w:pPr>
        <w:pStyle w:val="ListBullet"/>
      </w:pPr>
      <w:r>
        <w:rPr>
          <w:b/>
        </w:rPr>
        <w:t xml:space="preserve">Deployable today: </w:t>
      </w:r>
      <w:r>
        <w:t>The engine and dashboard are fully functional. Running `pipenv run streamlit run app.py` launches the complete tool locally. No cloud infrastructure is required.</w:t>
      </w:r>
    </w:p>
    <w:p>
      <w:pPr>
        <w:pStyle w:val="ListBullet"/>
      </w:pPr>
      <w:r>
        <w:rPr>
          <w:b/>
        </w:rPr>
        <w:t xml:space="preserve">Extensible: </w:t>
      </w:r>
      <w:r>
        <w:t>The condition routing architecture in risk_scorer.py supports adding new conditions without modifying existing detectors — each condition type maps to its own scoring strategy.</w:t>
      </w:r>
    </w:p>
    <w:p>
      <w:pPr>
        <w:pStyle w:val="ListBullet"/>
      </w:pPr>
      <w:r>
        <w:rPr>
          <w:b/>
        </w:rPr>
        <w:t xml:space="preserve">Remaining work is scoped: </w:t>
      </w:r>
      <w:r>
        <w:t>The outstanding feature (Power BI / Tableau integration or enhanced export options) is an additive layer on top of an already-functional system, reducing delivery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