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0B2545"/>
          <w:sz w:val="44"/>
        </w:rPr>
        <w:t>AI智慧课程平台项目答辩讲稿</w:t>
      </w:r>
    </w:p>
    <w:p>
      <w:pPr>
        <w:spacing w:after="280"/>
        <w:jc w:val="center"/>
      </w:pPr>
      <w:r>
        <w:rPr>
          <w:rFonts w:ascii="Calibri" w:hAnsi="Calibri" w:eastAsia="Microsoft YaHei"/>
          <w:b w:val="0"/>
          <w:color w:val="555555"/>
          <w:sz w:val="21"/>
        </w:rPr>
        <w:t>按 PPT 页码对应｜重点讲设计思路、游戏化落地、HarmonyOS 端与推广方案</w:t>
      </w:r>
    </w:p>
    <w:p>
      <w:pPr>
        <w:spacing w:after="200"/>
      </w:pPr>
      <w:r>
        <w:rPr>
          <w:rFonts w:ascii="Calibri" w:hAnsi="Calibri" w:eastAsia="Microsoft YaHei"/>
          <w:b/>
          <w:color w:val="1F4D78"/>
          <w:sz w:val="22"/>
        </w:rPr>
        <w:t>讲述侧重：</w:t>
      </w:r>
      <w:r>
        <w:rPr>
          <w:rFonts w:ascii="Calibri" w:hAnsi="Calibri" w:eastAsia="Microsoft YaHei"/>
          <w:b w:val="0"/>
          <w:color w:val="000000"/>
          <w:sz w:val="22"/>
        </w:rPr>
        <w:t>第 2-4、8-9、17-18 页重点展开；第 14 页作为次重点；数据库、单元测试和性能测试用于证明工程完成度，简略带过。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5688"/>
      </w:tblGrid>
      <w:tr>
        <w:tc>
          <w:tcPr>
            <w:tcW w:type="dxa" w:w="3264"/>
            <w:shd w:fill="F2F4F7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页码</w:t>
            </w:r>
          </w:p>
        </w:tc>
        <w:tc>
          <w:tcPr>
            <w:tcW w:type="dxa" w:w="3264"/>
            <w:shd w:fill="F2F4F7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讲述定位</w:t>
            </w:r>
          </w:p>
        </w:tc>
        <w:tc>
          <w:tcPr>
            <w:tcW w:type="dxa" w:w="3264"/>
            <w:shd w:fill="F2F4F7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讲述要点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1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开场定位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封面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2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从平台成熟到学生动力不足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项目背景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3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三个约束决定设计方向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需求分析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4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重点：为什么想到爬塔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创新思路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5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简略：从想法到产品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开发路线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6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简略：游戏化不是空中楼阁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底层建设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7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简略：完整工程实现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总体架构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8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重点：如何把课程变成游戏世界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核心设计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9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重点：沉浸式学习体验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学生端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10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简略：不改变教师原流程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教师端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11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适中：AI 融入课程全过程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 应用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12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简略：RAG 降低泛化回答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 架构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13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简略：证明实际使用国产数据库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KingbaseES 数据库应用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14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次重点：做得比较有展示价值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HarmonyOS 移动端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15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简略：证明功能经过验证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单元测试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16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简略：证明做过工程化测试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性能测试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17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重点：为什么容易推广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推广方案</w:t>
            </w:r>
          </w:p>
        </w:tc>
      </w:tr>
      <w:tr>
        <w:tc>
          <w:tcPr>
            <w:tcW w:type="dxa" w:w="16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 18 页</w:t>
            </w:r>
          </w:p>
        </w:tc>
        <w:tc>
          <w:tcPr>
            <w:tcW w:type="dxa" w:w="223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重点收束：可迁移的游戏化学习模式</w:t>
            </w:r>
          </w:p>
        </w:tc>
        <w:tc>
          <w:tcPr>
            <w:tcW w:type="dxa" w:w="56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竞争分析与总结</w:t>
            </w:r>
          </w:p>
        </w:tc>
      </w:tr>
    </w:tbl>
    <w:p>
      <w:r>
        <w:br w:type="page"/>
      </w:r>
    </w:p>
    <w:p>
      <w:pPr>
        <w:pStyle w:val="Heading1"/>
      </w:pPr>
      <w:r>
        <w:t>正式讲稿</w:t>
      </w:r>
    </w:p>
    <w:p>
      <w:pPr>
        <w:pStyle w:val="Heading2"/>
      </w:pPr>
      <w:r>
        <w:t>第 1 页｜封面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开场定位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各位老师好，我们小组汇报的项目是“AI智慧课程平台：Python编程与数据分析基础智慧课程平台课堂游戏化伴随系统”。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这次汇报我会重点围绕三个问题展开：第一，我们为什么想到用“爬塔”方式重构学习体验；第二，我们具体如何把课程学习游戏化；第三，这套模式后续如何推广。除此之外，HarmonyOS 移动端是我们实现中比较有特色的一部分，我也会单独说明。数据库、测试和性能验证部分，我会作为工程支撑简要带过。</w:t>
      </w:r>
    </w:p>
    <w:p>
      <w:pPr>
        <w:pStyle w:val="Heading2"/>
      </w:pPr>
      <w:r>
        <w:t>第 2 页｜项目背景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从平台成熟到学生动力不足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我们最初调研智慧课程平台时发现，很多平台在教师端已经比较成熟，比如课程资源管理、任务发布、在线测评和学情统计，这些能力能很好地帮助教师管理教学。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但从学生端来看，学习过程往往仍然是“看资源、做任务、交作业”。这更像是在完成待办事项，而不是一段连续、有反馈、有目标的学习过程。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所以我们项目真正想解决的不是“再做一个课程平台”，而是思考：在平台已有能力基础上，怎样让学生更愿意持续学习。</w:t>
      </w:r>
    </w:p>
    <w:p>
      <w:pPr>
        <w:pStyle w:val="Heading2"/>
      </w:pPr>
      <w:r>
        <w:t>第 3 页｜需求分析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三个约束决定设计方向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基于背景分析，我们把需求收敛成三点。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第一，要建立持续学习动力，不能只靠截止日期推动学生学习。第二，要增强学习反馈，让学生知道自己当前进度、薄弱点和能力变化。第三，要保持教学流程稳定，教师不需要因为使用系统重新设计整门课。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这三点决定了我们的方向：不是简单加积分、徽章，而是要把学习过程重新组织成一个更清晰、更有反馈的体验闭环。</w:t>
      </w:r>
    </w:p>
    <w:p>
      <w:pPr>
        <w:pStyle w:val="Heading2"/>
      </w:pPr>
      <w:r>
        <w:t>第 4 页｜创新思路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重点：为什么想到爬塔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这一页是我们设计思路的核心。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我们参考了《杀戮尖塔》这类成长型游戏。它吸引人的地方不是单纯奖励，而是每一步目标清楚、每一次挑战都有反馈、每一次成功都能看到成长。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课程学习其实也有类似结构：知识点可以逐步解锁，任务可以作为挑战，测验可以作为阶段性检验，能力成长可以作为持续反馈。因此我们把课程学习映射成“学习塔”：学生不是面对一串任务，而是沿着路径不断推进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这就是我们提出“学习即闯关，成长即升级”的原因。</w:t>
      </w:r>
    </w:p>
    <w:p>
      <w:pPr>
        <w:pStyle w:val="Heading2"/>
      </w:pPr>
      <w:r>
        <w:t>第 5 页｜开发路线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简略：从想法到产品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在开发流程上，我们先明确学生动力不足的问题，再设计爬塔式学习机制，随后搭建课程、任务、测评、画像和学情分析等底层模块。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在基础能力稳定后，我们继续接入 AI 能力、HarmonyOS 移动端和测试验证。整体路线是先保证课程平台可运行，再把游戏化体验和智能辅助嵌入进去。</w:t>
      </w:r>
    </w:p>
    <w:p>
      <w:pPr>
        <w:pStyle w:val="Heading2"/>
      </w:pPr>
      <w:r>
        <w:t>第 6 页｜底层建设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简略：游戏化不是空中楼阁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这一页说明游戏化体验背后需要哪些业务能力支撑。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课程资源、学习任务、测评批改、学生画像推荐和班级学情分析，共同构成系统底座。没有这些底层数据，学习塔就只是一个界面；有了这些模块，关卡、挑战、反馈和推荐才有真实依据。</w:t>
      </w:r>
    </w:p>
    <w:p>
      <w:pPr>
        <w:pStyle w:val="Heading2"/>
      </w:pPr>
      <w:r>
        <w:t>第 7 页｜总体架构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简略：完整工程实现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系统采用前后端分离架构。Web 端承担教师端和学生端主要功能，HarmonyOS 端承载移动学习体验；后端使用 Spring Boot 提供接口；数据库使用 KingbaseES；AI 服务通过 Agent 和 DeepSeek 接入。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这一页主要证明，我们做的是一个完整系统，而不是单独的页面原型。</w:t>
      </w:r>
    </w:p>
    <w:p>
      <w:pPr>
        <w:pStyle w:val="Heading2"/>
      </w:pPr>
      <w:r>
        <w:t>第 8 页｜核心设计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重点：如何把课程变成游戏世界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这一页要重点讲我们是怎么做游戏化的。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我们不是简单把按钮做得像游戏，而是建立了一套映射关系：课程对应学习塔，知识点对应关卡节点，学习任务对应挑战，阶段测评对应 Boss，能力点对应成长属性。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这样学生每完成一次学习行为，系统都能给出明确反馈：哪个节点通过了、能力值有没有变化、下一步路线是什么。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它和普通积分系统的区别在于，普通积分只是结果奖励，而我们的设计是把学习流程本身组织成连续路径。</w:t>
      </w:r>
    </w:p>
    <w:p>
      <w:pPr>
        <w:pStyle w:val="Heading2"/>
      </w:pPr>
      <w:r>
        <w:t>第 9 页｜学生端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重点：沉浸式学习体验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学生端围绕“学习塔”展开。学生进入系统后，可以看到自己的学习地图，选择节点进入诊断、练习、挑战或 AI 辅导。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完成节点后，系统会反馈经验、金币、能力变化和后续推荐。这样学生知道自己现在在哪里、下一步做什么、为什么继续学。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所以学生端不只是任务提交入口，而是一个持续伴随学生推进课程学习的成长系统。</w:t>
      </w:r>
    </w:p>
    <w:p>
      <w:pPr>
        <w:pStyle w:val="Heading2"/>
      </w:pPr>
      <w:r>
        <w:t>第 10 页｜教师端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简略：不改变教师原流程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教师端主要承担课程资源、知识点、任务、测评、成绩统计和学情分析等功能。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我们的设计原则是尽量不改变教师原有教学流程。教师仍然正常建设课程和发布任务，系统在背后把这些内容转化成学生端的关卡、挑战和成长反馈。</w:t>
      </w:r>
    </w:p>
    <w:p>
      <w:pPr>
        <w:pStyle w:val="Heading2"/>
      </w:pPr>
      <w:r>
        <w:t>第 11 页｜AI 应用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适中：AI 融入课程全过程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AI 部分不是单独放一个聊天窗口，而是嵌入课程建设、学习辅导和教学评价三个环节。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在课程建设中，AI 辅助知识图谱和能力图谱生成；在学习过程中，AI 提供知识讲解、问答和个性化推荐；在评价环节，AI 辅助评阅、风险识别和教学建议。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它的作用是让课程平台从“记录学习”进一步走向“理解学习”。</w:t>
      </w:r>
    </w:p>
    <w:p>
      <w:pPr>
        <w:pStyle w:val="Heading2"/>
      </w:pPr>
      <w:r>
        <w:t>第 12 页｜AI 架构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简略：RAG 降低泛化回答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AI 架构采用 RAG 与大模型结合。系统先检索课程资料、课件、答案和知识点，再把相关上下文提供给模型。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这样 AI 输出会更贴合当前课程和任务，减少脱离课程内容的泛化回答。</w:t>
      </w:r>
    </w:p>
    <w:p>
      <w:pPr>
        <w:pStyle w:val="Heading2"/>
      </w:pPr>
      <w:r>
        <w:t>第 13 页｜KingbaseES 数据库应用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简略：证明实际使用国产数据库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数据库部分我们只需要简要说明：系统实际使用了国产数据库 KingbaseES，而不只是理论支持。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这一页中展示了业务表结构和真实数据库查询结果，`version()` 返回 KingbaseES 版本信息，说明当前项目数据确实运行在 KingbaseES 上。</w:t>
      </w:r>
    </w:p>
    <w:p>
      <w:pPr>
        <w:pStyle w:val="Heading2"/>
      </w:pPr>
      <w:r>
        <w:t>第 14 页｜HarmonyOS 移动端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次重点：做得比较有展示价值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HarmonyOS 端是我们项目中比较有特色的一部分，可以稍微展开。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学习塔这种交互形式很适合移动端：学生可以在平板或手机上查看学习地图、进入节点、和 AI 对话、完成挑战。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相比 Web 端，移动端更强调随时学习和沉浸体验。我们不是简单复制网页，而是围绕爬塔学习流程重新组织移动端呈现，让学生在移动场景下也能感受到路径推进和即时反馈。</w:t>
      </w:r>
    </w:p>
    <w:p>
      <w:pPr>
        <w:pStyle w:val="Heading2"/>
      </w:pPr>
      <w:r>
        <w:t>第 15 页｜单元测试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简略：证明功能经过验证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单元测试部分简单带过。我们对前后端核心功能做了验证，覆盖课程、任务、测评、提交、AI 评阅等关键业务链路。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这里主要说明系统不是只完成展示页面，而是做了基本工程质量保障。</w:t>
      </w:r>
    </w:p>
    <w:p>
      <w:pPr>
        <w:pStyle w:val="Heading2"/>
      </w:pPr>
      <w:r>
        <w:t>第 16 页｜性能测试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简略：证明做过工程化测试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性能测试部分同样不需要展开太多。我们使用国产测试工具进行了接口压测和性能验证，关注并发访问、响应时间和吞吐量。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这部分主要证明系统在当前演示和课程使用规模下能够稳定运行。</w:t>
      </w:r>
    </w:p>
    <w:p>
      <w:pPr>
        <w:pStyle w:val="Heading2"/>
      </w:pPr>
      <w:r>
        <w:t>第 17 页｜推广方案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重点：为什么容易推广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推广方案是我们项目价值比较突出的地方。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我们的系统不是替代原有教学平台，而是作为“课堂游戏化伴随系统”接入现有课程。教师仍然按原方式建设课程、发布任务和组织测评，系统负责把这些内容转化为学习塔、关卡挑战和成长反馈。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这样推广成本较低，因为教师不用重做课程，学生也不用适应完全陌生的平台。它更像是在原有课程外面增加一层学习动力和反馈机制。</w:t>
      </w:r>
    </w:p>
    <w:p>
      <w:pPr>
        <w:pStyle w:val="Heading2"/>
      </w:pPr>
      <w:r>
        <w:t>第 18 页｜竞争分析与总结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1"/>
        </w:rPr>
        <w:t>讲述定位：</w:t>
      </w:r>
      <w:r>
        <w:rPr>
          <w:rFonts w:ascii="Calibri" w:hAnsi="Calibri" w:eastAsia="Microsoft YaHei"/>
          <w:b w:val="0"/>
          <w:color w:val="555555"/>
          <w:sz w:val="21"/>
        </w:rPr>
        <w:t>重点收束：可迁移的游戏化学习模式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最后从竞争角度看，我们的优势在于可迁移和可扩展。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普通课程平台主要解决管理问题，普通游戏化功能主要解决激励问题，而我们的系统尝试把知识点、任务、测评、能力成长和 AI 辅助连接成一个完整闭环。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未来这套模式不只适用于 Python 课程，也可以迁移到数据结构、Java、数据库、人工智能基础等实践性较强的课程。</w:t>
      </w:r>
    </w:p>
    <w:p>
      <w:pPr>
        <w:spacing w:after="120"/>
        <w:ind w:firstLine="317"/>
      </w:pPr>
      <w:r>
        <w:rPr>
          <w:rFonts w:ascii="Calibri" w:hAnsi="Calibri" w:eastAsia="Microsoft YaHei"/>
          <w:b w:val="0"/>
          <w:color w:val="000000"/>
          <w:sz w:val="22"/>
        </w:rPr>
        <w:t>总结来说，我们项目的核心不是做一个爬塔界面，而是把爬塔机制作为学习组织方式，把课程内容、学生成长和教师分析连接起来，形成面向真实教学场景的智慧课程游戏化伴随系统。谢谢各位老师。</w:t>
      </w:r>
    </w:p>
    <w:p>
      <w:pPr>
        <w:pStyle w:val="Heading1"/>
      </w:pPr>
      <w:r>
        <w:t>压缩讲述建议</w:t>
      </w:r>
    </w:p>
    <w:p>
      <w:pPr>
        <w:ind w:left="360" w:hanging="216"/>
      </w:pPr>
      <w:r>
        <w:rPr>
          <w:rFonts w:ascii="Calibri" w:hAnsi="Calibri" w:eastAsia="Microsoft YaHei"/>
          <w:b w:val="0"/>
          <w:color w:val="2E74B5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如果时间在 6 分钟以内，第 5-7、10-13、15-16 页只讲每页第一句话即可。</w:t>
      </w:r>
    </w:p>
    <w:p>
      <w:pPr>
        <w:ind w:left="360" w:hanging="216"/>
      </w:pPr>
      <w:r>
        <w:rPr>
          <w:rFonts w:ascii="Calibri" w:hAnsi="Calibri" w:eastAsia="Microsoft YaHei"/>
          <w:b w:val="0"/>
          <w:color w:val="2E74B5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第 4 页和第 8 页要讲清楚“为什么爬塔”和“课程元素如何映射为游戏元素”，这是整套方案的核心。</w:t>
      </w:r>
    </w:p>
    <w:p>
      <w:pPr>
        <w:ind w:left="360" w:hanging="216"/>
      </w:pPr>
      <w:r>
        <w:rPr>
          <w:rFonts w:ascii="Calibri" w:hAnsi="Calibri" w:eastAsia="Microsoft YaHei"/>
          <w:b w:val="0"/>
          <w:color w:val="2E74B5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第 14 页可以结合现场演示讲，让老师看到移动端不是简单移植，而是围绕学习塔体验重新组织。</w:t>
      </w:r>
    </w:p>
    <w:p>
      <w:pPr>
        <w:ind w:left="360" w:hanging="216"/>
      </w:pPr>
      <w:r>
        <w:rPr>
          <w:rFonts w:ascii="Calibri" w:hAnsi="Calibri" w:eastAsia="Microsoft YaHei"/>
          <w:b w:val="0"/>
          <w:color w:val="2E74B5"/>
          <w:sz w:val="22"/>
        </w:rPr>
        <w:t xml:space="preserve">• </w:t>
      </w:r>
      <w:r>
        <w:rPr>
          <w:rFonts w:ascii="Calibri" w:hAnsi="Calibri" w:eastAsia="Microsoft YaHei"/>
          <w:b w:val="0"/>
          <w:color w:val="000000"/>
          <w:sz w:val="22"/>
        </w:rPr>
        <w:t>第 17-18 页负责收束价值：低成本接入原有课堂，并且可以迁移到其他实践类课程。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