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t xml:space="preserve"/>
      </w:r>
    </w:p>
    <w:p>
      <w:pPr>
        <w:pStyle w:val="Title"/>
      </w:pPr>
      <w:r>
        <w:t xml:space="preserve">Compromisos de cumplimiento en materia de datos personales</w:t>
      </w:r>
    </w:p>
    <w:p>
      <w:pPr>
        <w:pStyle w:val="Subtitle"/>
      </w:pPr>
      <w:r>
        <w:t xml:space="preserve">Declaración de Keep IT Simple como encargado del tratamiento para el servicio Remedia en [CLIENTE]  ·  Versión 1.0  ·  Septiembre de 2026</w:t>
      </w:r>
    </w:p>
    <w:p>
      <w:pPr>
        <w:sectPr>
          <w:headerReference w:type="default" r:id="rId7"/>
          <w:footerReference w:type="default" r:id="rId8"/>
          <w:pgSz w:w="11907" w:h="16839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TOCHeading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</w:r>
          <w:r>
            <w:instrText>TOC \h \o "1-2"</w:instrText>
          </w:r>
          <w:r>
            <w:fldChar w:fldCharType="separate"/>
          </w:r>
        </w:p>
        <w:p>
          <w:hyperlink w:anchor="_TocBD000001" w:history="1">
            <w:r>
              <w:t>1. Declaración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_TocBD000001 \h </w:instrText>
          </w:r>
          <w:r>
            <w:fldChar w:fldCharType="separate"/>
          </w:r>
          <w:r>
            <w:fldChar w:fldCharType="end"/>
          </w:r>
        </w:p>
        <w:p>
          <w:hyperlink w:anchor="_TocBD000002" w:history="1">
            <w:r>
              <w:t>2. Qué cumplimos, artículo por artículo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_TocBD000002 \h </w:instrText>
          </w:r>
          <w:r>
            <w:fldChar w:fldCharType="separate"/>
          </w:r>
          <w:r>
            <w:fldChar w:fldCharType="end"/>
          </w:r>
        </w:p>
        <w:p>
          <w:hyperlink w:anchor="_TocBD000003" w:history="1">
            <w:r>
              <w:t>3. Qué datos tratamos y por cuánto tiempo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_TocBD000003 \h </w:instrText>
          </w:r>
          <w:r>
            <w:fldChar w:fldCharType="separate"/>
          </w:r>
          <w:r>
            <w:fldChar w:fldCharType="end"/>
          </w:r>
        </w:p>
        <w:p>
          <w:hyperlink w:anchor="_TocBD000004" w:history="1">
            <w:r>
              <w:t>4. Datos de salud: el compromiso específico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_TocBD000004 \h </w:instrText>
          </w:r>
          <w:r>
            <w:fldChar w:fldCharType="separate"/>
          </w:r>
          <w:r>
            <w:fldChar w:fldCharType="end"/>
          </w:r>
        </w:p>
        <w:p>
          <w:hyperlink w:anchor="_TocBD000005" w:history="1">
            <w:r>
              <w:t>5. Derechos del titular: cómo se ejercen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_TocBD000005 \h </w:instrText>
          </w:r>
          <w:r>
            <w:fldChar w:fldCharType="separate"/>
          </w:r>
          <w:r>
            <w:fldChar w:fldCharType="end"/>
          </w:r>
        </w:p>
        <w:p>
          <w:hyperlink w:anchor="_TocBD000006" w:history="1">
            <w:r>
              <w:t>6. Medidas de seguridad comprometidas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_TocBD000006 \h </w:instrText>
          </w:r>
          <w:r>
            <w:fldChar w:fldCharType="separate"/>
          </w:r>
          <w:r>
            <w:fldChar w:fldCharType="end"/>
          </w:r>
        </w:p>
        <w:p>
          <w:hyperlink w:anchor="_TocBD000007" w:history="1">
            <w:r>
              <w:t>7. Terceros que intervienen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_TocBD000007 \h </w:instrText>
          </w:r>
          <w:r>
            <w:fldChar w:fldCharType="separate"/>
          </w:r>
          <w:r>
            <w:fldChar w:fldCharType="end"/>
          </w:r>
        </w:p>
        <w:p>
          <w:hyperlink w:anchor="_TocBD000008" w:history="1">
            <w:r>
              <w:t>8. Cuándo se cumple cada cosa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_TocBD000008 \h </w:instrText>
          </w:r>
          <w:r>
            <w:fldChar w:fldCharType="separate"/>
          </w:r>
          <w:r>
            <w:fldChar w:fldCharType="end"/>
          </w:r>
        </w:p>
        <w:p>
          <w:hyperlink w:anchor="_TocBD000009" w:history="1">
            <w:r>
              <w:t>9. Firmas</w:t>
            </w:r>
          </w:hyperlink>
          <w:r>
            <w:tab/>
          </w:r>
          <w:r>
            <w:fldChar w:fldCharType="begin" w:dirty="true"/>
          </w:r>
          <w:r>
            <w:instrText xml:space="preserve"> PAGEREF _TocBD000009 \h </w:instrText>
          </w:r>
          <w:r>
            <w:fldChar w:fldCharType="separate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Heading1"/>
      </w:pPr>
      <w:bookmarkStart w:id="0" w:name="_TocBD000001"/>
      <w:r>
        <w:t>1. Declaración</w:t>
      </w:r>
      <w:bookmarkEnd w:id="0"/>
    </w:p>
    <w:p>
      <w:pPr>
        <w:pStyle w:val="Normal"/>
      </w:pPr>
      <w:r>
        <w:t>Keep IT Simple declara que el servicio Remedia, en su implementación para [CLIENTE], opera bajo los compromisos que se detallan en este documento. Cada compromiso es verificable: indica qué se cumple, cómo se cumple y qué evidencia se entrega al Cliente antes del inicio en producción.</w:t>
      </w:r>
    </w:p>
    <w:p>
      <w:pPr>
        <w:pStyle w:val="KISNota"/>
      </w:pPr>
      <w:r>
        <w:t>En una frase</w:t>
      </w:r>
      <w:r>
        <w:br/>
      </w:r>
      <w:r>
        <w:t>Los datos son del Cliente, se usan sólo para atender a sus clientes por WhatsApp, viven el tiempo mínimo necesario, los de salud los trata siempre una persona habilitada, y el titular puede informarse, darse de baja y ejercer sus derechos por el mismo canal.</w:t>
      </w:r>
    </w:p>
    <w:p>
      <w:pPr>
        <w:pStyle w:val="Normal"/>
      </w:pPr>
      <w:r>
        <w:t>Este documento resume los compromisos; el análisis normativo, el inventario de datos y los anexos contractuales están en el documento de adecuación completo. Ambos forman parte de la propuesta de implementación.</w:t>
      </w:r>
    </w:p>
    <w:p>
      <w:pPr>
        <w:pStyle w:val="Heading1"/>
      </w:pPr>
      <w:bookmarkStart w:id="1" w:name="_TocBD000002"/>
      <w:r>
        <w:t>2. Qué cumplimos, artículo por artículo</w:t>
      </w:r>
      <w:bookmarkEnd w:id="1"/>
    </w:p>
    <w:p>
      <w:pPr>
        <w:pStyle w:val="Normal"/>
      </w:pPr>
      <w:r>
        <w:t>La tabla recorre las obligaciones de la Ley 25.326 y su reglamentación que alcanzan al servicio, y el compromiso concreto frente a cada una.</w:t>
      </w:r>
    </w:p>
    <w:tbl>
      <w:tblPr>
        <w:tblStyle w:val="KISTabla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</w:tcPr>
          <w:p>
            <w:r>
              <w:t>Obligación legal</w:t>
            </w:r>
          </w:p>
        </w:tc>
        <w:tc>
          <w:tcPr>
            <w:tcW w:type="dxa" w:w="3278"/>
          </w:tcPr>
          <w:p>
            <w:r>
              <w:t>Compromiso de Keep IT Simple</w:t>
            </w:r>
          </w:p>
        </w:tc>
        <w:tc>
          <w:tcPr>
            <w:tcW w:type="dxa" w:w="3278"/>
          </w:tcPr>
          <w:p>
            <w:r>
              <w:t>Cómo se verifica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4 — Calidad y finalidad.</w:t>
            </w:r>
            <w:r>
              <w:t xml:space="preserve"> Los datos deben ser ciertos, adecuados, pertinentes y no excesivos respecto de la finalidad, y destruirse cuando dejan de ser necesarios.</w:t>
            </w:r>
          </w:p>
        </w:tc>
        <w:tc>
          <w:tcPr>
            <w:tcW w:type="dxa" w:w="3278"/>
          </w:tcPr>
          <w:p>
            <w:r>
              <w:t>El asistente recolecta sólo lo indispensable para cada paso: teléfono, lo que el cliente escribe, y una dirección únicamente si eligió envío a domicilio. No pide DNI, correo ni fecha de nacimiento. Cada dato tiene vencimiento: sesión 25 horas, imágenes 7 días, pedidos 7 días, historial según la política acordada con el Cliente.</w:t>
            </w:r>
          </w:p>
        </w:tc>
        <w:tc>
          <w:tcPr>
            <w:tcW w:type="dxa" w:w="3278"/>
          </w:tcPr>
          <w:p>
            <w:r>
              <w:t>Inventario de datos con retención por categoría; job de depuración activo; captura de la configuración.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5 — Consentimiento.</w:t>
            </w:r>
            <w:r>
              <w:t xml:space="preserve"> El tratamiento requiere consentimiento libre, expreso e informado, salvo excepciones (relación contractual, datos de contacto básicos).</w:t>
            </w:r>
          </w:p>
        </w:tc>
        <w:tc>
          <w:tcPr>
            <w:tcW w:type="dxa" w:w="3278"/>
          </w:tcPr>
          <w:p>
            <w:r>
              <w:t>El titular inicia la conversación de forma voluntaria y recibe el aviso de privacidad antes de que se le pida ningún dato. Para socios y clientes existentes se apoya además en la relación previa con el Cliente (art. 5 inc. 2). Los mensajes proactivos sólo se envían con opt-in registrado.</w:t>
            </w:r>
          </w:p>
        </w:tc>
        <w:tc>
          <w:tcPr>
            <w:tcW w:type="dxa" w:w="3278"/>
          </w:tcPr>
          <w:p>
            <w:r>
              <w:t>Texto del aviso configurado; prueba de flujo; registro de opt-in.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6 — Información.</w:t>
            </w:r>
            <w:r>
              <w:t xml:space="preserve"> Al recolectar datos hay que informar finalidad, destinatarios, carácter obligatorio u optativo, consecuencias de no proveerlos, y derechos.</w:t>
            </w:r>
          </w:p>
        </w:tc>
        <w:tc>
          <w:tcPr>
            <w:tcW w:type="dxa" w:w="3278"/>
          </w:tcPr>
          <w:p>
            <w:r>
              <w:t>Aviso en el primer mensaje de cada conversación nueva con los cinco elementos del artículo, más la identificación del asistente como sistema automatizado y el enlace a la política de privacidad del Cliente.</w:t>
            </w:r>
          </w:p>
        </w:tc>
        <w:tc>
          <w:tcPr>
            <w:tcW w:type="dxa" w:w="3278"/>
          </w:tcPr>
          <w:p>
            <w:r>
              <w:t>Captura del primer mensaje; texto aprobado por el Cliente.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7 y 8 — Datos sensibles y de salud.</w:t>
            </w:r>
            <w:r>
              <w:t xml:space="preserve"> Sólo pueden tratarse con consentimiento expreso o por establecimientos sanitarios y profesionales de la salud, bajo secreto profesional.</w:t>
            </w:r>
          </w:p>
        </w:tc>
        <w:tc>
          <w:tcPr>
            <w:tcW w:type="dxa" w:w="3278"/>
          </w:tcPr>
          <w:p>
            <w:r>
              <w:t>El asistente nunca interpreta ni resuelve una receta: la reconoce, la guarda de forma temporal y la deriva a un operador habilitado del Cliente. El modelo de lenguaje no recibe DNI, domicilio, diagnóstico ni el paquete de datos de la receta. La lectura automática de recetas está desactivada por defecto y sólo se habilita por decisión escrita del Cliente.</w:t>
            </w:r>
          </w:p>
        </w:tc>
        <w:tc>
          <w:tcPr>
            <w:tcW w:type="dxa" w:w="3278"/>
          </w:tcPr>
          <w:p>
            <w:r>
              <w:t>Prueba del circuito de receta; configuración de la función de lectura; registro de la decisión del Cliente.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9 — Seguridad.</w:t>
            </w:r>
            <w:r>
              <w:t xml:space="preserve"> Medidas técnicas y organizativas para garantizar seguridad y confidencialidad, evitar adulteración, pérdida y acceso no autorizado.</w:t>
            </w:r>
          </w:p>
        </w:tc>
        <w:tc>
          <w:tcPr>
            <w:tcW w:type="dxa" w:w="3278"/>
          </w:tcPr>
          <w:p>
            <w:r>
              <w:t>Medidas alineadas con la Resolución AAIP 47/2018, detalladas en la sección 6: cifrado en tránsito y en reposo, usuarios individuales con roles, auditoría, respaldos, gestión de vulnerabilidades e incidentes.</w:t>
            </w:r>
          </w:p>
        </w:tc>
        <w:tc>
          <w:tcPr>
            <w:tcW w:type="dxa" w:w="3278"/>
          </w:tcPr>
          <w:p>
            <w:r>
              <w:t>Matriz de controles con evidencia por control; informe de revisión de seguridad previo al go-live.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10 — Deber de confidencialidad.</w:t>
            </w:r>
            <w:r>
              <w:t xml:space="preserve"> Quienes intervienen en el tratamiento están obligados al secreto profesional, aun después de finalizada la relación.</w:t>
            </w:r>
          </w:p>
        </w:tc>
        <w:tc>
          <w:tcPr>
            <w:tcW w:type="dxa" w:w="3278"/>
          </w:tcPr>
          <w:p>
            <w:r>
              <w:t>Todo el personal de Keep IT Simple con acceso a producción firma acuerdo de confidencialidad; el acceso es nominal, revocable y registrado. Los operadores del Cliente acceden con usuario propio.</w:t>
            </w:r>
          </w:p>
        </w:tc>
        <w:tc>
          <w:tcPr>
            <w:tcW w:type="dxa" w:w="3278"/>
          </w:tcPr>
          <w:p>
            <w:r>
              <w:t>Modelo de acuerdo firmado; listado de accesos vigentes.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11 — Cesión.</w:t>
            </w:r>
            <w:r>
              <w:t xml:space="preserve"> Los datos sólo pueden cederse para fines relacionados con el interés legítimo del cedente y del cesionario, con consentimiento del titular.</w:t>
            </w:r>
          </w:p>
        </w:tc>
        <w:tc>
          <w:tcPr>
            <w:tcW w:type="dxa" w:w="3278"/>
          </w:tcPr>
          <w:p>
            <w:r>
              <w:t>Keep IT Simple no cede datos a nadie. Los terceros que intervienen son subencargados que prestan un servicio técnico bajo contrato, no cesionarios. La lista es cerrada y la aprueba el Cliente.</w:t>
            </w:r>
          </w:p>
        </w:tc>
        <w:tc>
          <w:tcPr>
            <w:tcW w:type="dxa" w:w="3278"/>
          </w:tcPr>
          <w:p>
            <w:r>
              <w:t>Matriz de subencargados aprobada; cláusula de no cesión en el contrato.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12 — Transferencia internacional.</w:t>
            </w:r>
            <w:r>
              <w:t xml:space="preserve"> Prohibida hacia países sin nivel adecuado de protección, salvo consentimiento o cláusulas contractuales.</w:t>
            </w:r>
          </w:p>
        </w:tc>
        <w:tc>
          <w:tcPr>
            <w:tcW w:type="dxa" w:w="3278"/>
          </w:tcPr>
          <w:p>
            <w:r>
              <w:t>Los subencargados radicados en Estados Unidos (mensajería, inteligencia artificial, nube) operan bajo los contratos modelo de la Disposición 60-E/2016 y sus términos de API prohíben el uso de los datos para entrenamiento. El aviso de privacidad informa la transferencia.</w:t>
            </w:r>
          </w:p>
        </w:tc>
        <w:tc>
          <w:tcPr>
            <w:tcW w:type="dxa" w:w="3278"/>
          </w:tcPr>
          <w:p>
            <w:r>
              <w:t>Cláusulas incorporadas; términos de cada proveedor archivados.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14 — Derecho de acceso.</w:t>
            </w:r>
            <w:r>
              <w:t xml:space="preserve"> El titular puede pedir sus datos y obtenerlos dentro de los 10 días corridos.</w:t>
            </w:r>
          </w:p>
        </w:tc>
        <w:tc>
          <w:tcPr>
            <w:tcW w:type="dxa" w:w="3278"/>
          </w:tcPr>
          <w:p>
            <w:r>
              <w:t>El Cliente exporta desde el panel el historial y los pedidos de un número. Keep IT Simple responde cualquier pedido interno del Cliente en 48 horas hábiles.</w:t>
            </w:r>
          </w:p>
        </w:tc>
        <w:tc>
          <w:tcPr>
            <w:tcW w:type="dxa" w:w="3278"/>
          </w:tcPr>
          <w:p>
            <w:r>
              <w:t>Prueba de exportación; procedimiento escrito.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16 — Rectificación, actualización y supresión.</w:t>
            </w:r>
            <w:r>
              <w:t xml:space="preserve"> Dentro de los 5 días hábiles de la solicitud.</w:t>
            </w:r>
          </w:p>
        </w:tc>
        <w:tc>
          <w:tcPr>
            <w:tcW w:type="dxa" w:w="3278"/>
          </w:tcPr>
          <w:p>
            <w:r>
              <w:t>Acción "Suprimir titular" en el panel: borra sesión, pedidos, imágenes e historial, conserva sólo lo exigido por ley y una marca de exclusión para no volver a contactarlo. Rectificación de padrón desde la fuente del Cliente.</w:t>
            </w:r>
          </w:p>
        </w:tc>
        <w:tc>
          <w:tcPr>
            <w:tcW w:type="dxa" w:w="3278"/>
          </w:tcPr>
          <w:p>
            <w:r>
              <w:t>Prueba de supresión con datos sintéticos; registro de auditoría de la acción.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21 — Registro de bases de datos.</w:t>
            </w:r>
            <w:r>
              <w:t xml:space="preserve"> El responsable debe inscribir sus bases ante la AAIP.</w:t>
            </w:r>
          </w:p>
        </w:tc>
        <w:tc>
          <w:tcPr>
            <w:tcW w:type="dxa" w:w="3278"/>
          </w:tcPr>
          <w:p>
            <w:r>
              <w:t>Keep IT Simple entrega en la primera semana la descripción técnica completa (finalidad, categorías, ubicación, medidas, transferencias) para que el Cliente incorpore el canal a su inscripción.</w:t>
            </w:r>
          </w:p>
        </w:tc>
        <w:tc>
          <w:tcPr>
            <w:tcW w:type="dxa" w:w="3278"/>
          </w:tcPr>
          <w:p>
            <w:r>
              <w:t>Descripción técnica entregada.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25 — Prestación de servicios de tratamiento.</w:t>
            </w:r>
            <w:r>
              <w:t xml:space="preserve"> El encargado no puede aplicar los datos a otro fin ni cederlos; el contrato regula el tratamiento; los datos se destruyen al terminar.</w:t>
            </w:r>
          </w:p>
        </w:tc>
        <w:tc>
          <w:tcPr>
            <w:tcW w:type="dxa" w:w="3278"/>
          </w:tcPr>
          <w:p>
            <w:r>
              <w:t>Contrato de encargo con las cláusulas mínimas (objeto e instrucciones, confidencialidad, seguridad, subencargados, transferencias, asistencia, incidentes, devolución y destrucción, auditoría). Al fin del contrato: devolución en formato estructurado o destrucción certificada en 30 días.</w:t>
            </w:r>
          </w:p>
        </w:tc>
        <w:tc>
          <w:tcPr>
            <w:tcW w:type="dxa" w:w="3278"/>
          </w:tcPr>
          <w:p>
            <w:r>
              <w:t>Contrato firmado; certificado de destrucción al cierre.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Art. 27 — Archivos con fines publicitarios.</w:t>
            </w:r>
            <w:r>
              <w:t xml:space="preserve"> El titular puede pedir en cualquier momento el retiro o bloqueo de su nombre.</w:t>
            </w:r>
          </w:p>
        </w:tc>
        <w:tc>
          <w:tcPr>
            <w:tcW w:type="dxa" w:w="3278"/>
          </w:tcPr>
          <w:p>
            <w:r>
              <w:t>Palabra BAJA en el chat: confirmación inmediata, exclusión de todo mensaje proactivo y marca que sobrevive a la depuración del resto de los datos.</w:t>
            </w:r>
          </w:p>
        </w:tc>
        <w:tc>
          <w:tcPr>
            <w:tcW w:type="dxa" w:w="3278"/>
          </w:tcPr>
          <w:p>
            <w:r>
              <w:t>Prueba de baja; registro de exclusiones.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Res. AAIP 47/2018 — Medidas de seguridad recomendadas.</w:t>
            </w:r>
          </w:p>
        </w:tc>
        <w:tc>
          <w:tcPr>
            <w:tcW w:type="dxa" w:w="3278"/>
          </w:tcPr>
          <w:p>
            <w:r>
              <w:t>Adoptadas en los nueve dominios de la resolución (ver sección 6).</w:t>
            </w:r>
          </w:p>
        </w:tc>
        <w:tc>
          <w:tcPr>
            <w:tcW w:type="dxa" w:w="3278"/>
          </w:tcPr>
          <w:p>
            <w:r>
              <w:t>Matriz de controles.</w:t>
            </w:r>
          </w:p>
        </w:tc>
      </w:tr>
      <w:tr>
        <w:tc>
          <w:tcPr>
            <w:tcW w:type="dxa" w:w="3278"/>
          </w:tcPr>
          <w:p>
            <w:r>
              <w:rPr>
                <w:b/>
              </w:rPr>
              <w:t>Res. AAIP 4/2019 — Decisiones automatizadas y transparencia.</w:t>
            </w:r>
          </w:p>
        </w:tc>
        <w:tc>
          <w:tcPr>
            <w:tcW w:type="dxa" w:w="3278"/>
          </w:tcPr>
          <w:p>
            <w:r>
              <w:t>El asistente se identifica como sistema automatizado y toda decisión con efecto para el titular (validación de receta, reclamo, reintegro) la toma una persona del Cliente.</w:t>
            </w:r>
          </w:p>
        </w:tc>
        <w:tc>
          <w:tcPr>
            <w:tcW w:type="dxa" w:w="3278"/>
          </w:tcPr>
          <w:p>
            <w:r>
              <w:t>Aviso inicial; circuito de derivación.</w:t>
            </w:r>
          </w:p>
        </w:tc>
      </w:tr>
    </w:tbl>
    <w:p>
      <w:pPr>
        <w:pStyle w:val="Caption"/>
      </w:pPr>
      <w:r>
        <w:t>Tabla 1. Obligaciones de la Ley 25.326 y compromiso asociado.</w:t>
      </w:r>
    </w:p>
    <w:p>
      <w:pPr>
        <w:pStyle w:val="Heading1"/>
      </w:pPr>
      <w:bookmarkStart w:id="2" w:name="_TocBD000003"/>
      <w:r>
        <w:t>3. Qué datos tratamos y por cuánto tiempo</w:t>
      </w:r>
      <w:bookmarkEnd w:id="2"/>
    </w:p>
    <w:tbl>
      <w:tblPr>
        <w:tblStyle w:val="KISTabla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</w:tcPr>
          <w:p>
            <w:r>
              <w:t>Dato</w:t>
            </w:r>
          </w:p>
        </w:tc>
        <w:tc>
          <w:tcPr>
            <w:tcW w:type="dxa" w:w="3278"/>
          </w:tcPr>
          <w:p>
            <w:r>
              <w:t>Para qué</w:t>
            </w:r>
          </w:p>
        </w:tc>
        <w:tc>
          <w:tcPr>
            <w:tcW w:type="dxa" w:w="3278"/>
          </w:tcPr>
          <w:p>
            <w:r>
              <w:t>Hasta cuándo</w:t>
            </w:r>
          </w:p>
        </w:tc>
      </w:tr>
      <w:tr>
        <w:tc>
          <w:tcPr>
            <w:tcW w:type="dxa" w:w="3278"/>
          </w:tcPr>
          <w:p>
            <w:r>
              <w:t>Teléfono de WhatsApp</w:t>
            </w:r>
          </w:p>
        </w:tc>
        <w:tc>
          <w:tcPr>
            <w:tcW w:type="dxa" w:w="3278"/>
          </w:tcPr>
          <w:p>
            <w:r>
              <w:t>Identificar la conversación y avisar pedidos</w:t>
            </w:r>
          </w:p>
        </w:tc>
        <w:tc>
          <w:tcPr>
            <w:tcW w:type="dxa" w:w="3278"/>
          </w:tcPr>
          <w:p>
            <w:r>
              <w:t>Sesión 25 h; pedidos 7 días; historial según política del Cliente (sugerido 12 meses)</w:t>
            </w:r>
          </w:p>
        </w:tc>
      </w:tr>
      <w:tr>
        <w:tc>
          <w:tcPr>
            <w:tcW w:type="dxa" w:w="3278"/>
          </w:tcPr>
          <w:p>
            <w:r>
              <w:t>Contenido de la conversación</w:t>
            </w:r>
          </w:p>
        </w:tc>
        <w:tc>
          <w:tcPr>
            <w:tcW w:type="dxa" w:w="3278"/>
          </w:tcPr>
          <w:p>
            <w:r>
              <w:t>Atender, cotizar, dar trazabilidad al operador</w:t>
            </w:r>
          </w:p>
        </w:tc>
        <w:tc>
          <w:tcPr>
            <w:tcW w:type="dxa" w:w="3278"/>
          </w:tcPr>
          <w:p>
            <w:r>
              <w:t>Ídem historial</w:t>
            </w:r>
          </w:p>
        </w:tc>
      </w:tr>
      <w:tr>
        <w:tc>
          <w:tcPr>
            <w:tcW w:type="dxa" w:w="3278"/>
          </w:tcPr>
          <w:p>
            <w:r>
              <w:t>Nombre y número de socio (del padrón del Cliente)</w:t>
            </w:r>
          </w:p>
        </w:tc>
        <w:tc>
          <w:tcPr>
            <w:tcW w:type="dxa" w:w="3278"/>
          </w:tcPr>
          <w:p>
            <w:r>
              <w:t>Descuento de socio y saludo por nombre</w:t>
            </w:r>
          </w:p>
        </w:tc>
        <w:tc>
          <w:tcPr>
            <w:tcW w:type="dxa" w:w="3278"/>
          </w:tcPr>
          <w:p>
            <w:r>
              <w:t>Mientras el Cliente mantenga el padrón</w:t>
            </w:r>
          </w:p>
        </w:tc>
      </w:tr>
      <w:tr>
        <w:tc>
          <w:tcPr>
            <w:tcW w:type="dxa" w:w="3278"/>
          </w:tcPr>
          <w:p>
            <w:r>
              <w:t>Dirección de envío</w:t>
            </w:r>
          </w:p>
        </w:tc>
        <w:tc>
          <w:tcPr>
            <w:tcW w:type="dxa" w:w="3278"/>
          </w:tcPr>
          <w:p>
            <w:r>
              <w:t>Entregar a domicilio</w:t>
            </w:r>
          </w:p>
        </w:tc>
        <w:tc>
          <w:tcPr>
            <w:tcW w:type="dxa" w:w="3278"/>
          </w:tcPr>
          <w:p>
            <w:r>
              <w:t>7 días; luego se enmascara</w:t>
            </w:r>
          </w:p>
        </w:tc>
      </w:tr>
      <w:tr>
        <w:tc>
          <w:tcPr>
            <w:tcW w:type="dxa" w:w="3278"/>
          </w:tcPr>
          <w:p>
            <w:r>
              <w:t>Imagen de receta o credencial (dato de salud)</w:t>
            </w:r>
          </w:p>
        </w:tc>
        <w:tc>
          <w:tcPr>
            <w:tcW w:type="dxa" w:w="3278"/>
          </w:tcPr>
          <w:p>
            <w:r>
              <w:t>Que un operador habilitado la cotice</w:t>
            </w:r>
          </w:p>
        </w:tc>
        <w:tc>
          <w:tcPr>
            <w:tcW w:type="dxa" w:w="3278"/>
          </w:tcPr>
          <w:p>
            <w:r>
              <w:t>7 días, borrado automático</w:t>
            </w:r>
          </w:p>
        </w:tc>
      </w:tr>
      <w:tr>
        <w:tc>
          <w:tcPr>
            <w:tcW w:type="dxa" w:w="3278"/>
          </w:tcPr>
          <w:p>
            <w:r>
              <w:t>Datos de pago</w:t>
            </w:r>
          </w:p>
        </w:tc>
        <w:tc>
          <w:tcPr>
            <w:tcW w:type="dxa" w:w="3278"/>
          </w:tcPr>
          <w:p>
            <w:r>
              <w:t>Confirmar el cobro</w:t>
            </w:r>
          </w:p>
        </w:tc>
        <w:tc>
          <w:tcPr>
            <w:tcW w:type="dxa" w:w="3278"/>
          </w:tcPr>
          <w:p>
            <w:r>
              <w:t>Sólo identificador de pago, marca y primeros 6 dígitos. Nunca el número completo</w:t>
            </w:r>
          </w:p>
        </w:tc>
      </w:tr>
      <w:tr>
        <w:tc>
          <w:tcPr>
            <w:tcW w:type="dxa" w:w="3278"/>
          </w:tcPr>
          <w:p>
            <w:r>
              <w:t>Acciones de operadores</w:t>
            </w:r>
          </w:p>
        </w:tc>
        <w:tc>
          <w:tcPr>
            <w:tcW w:type="dxa" w:w="3278"/>
          </w:tcPr>
          <w:p>
            <w:r>
              <w:t>Auditoría</w:t>
            </w:r>
          </w:p>
        </w:tc>
        <w:tc>
          <w:tcPr>
            <w:tcW w:type="dxa" w:w="3278"/>
          </w:tcPr>
          <w:p>
            <w:r>
              <w:t>24 meses</w:t>
            </w:r>
          </w:p>
        </w:tc>
      </w:tr>
    </w:tbl>
    <w:p>
      <w:pPr>
        <w:pStyle w:val="Caption"/>
      </w:pPr>
      <w:r>
        <w:t>Tabla 2. Datos tratados y retención.</w:t>
      </w:r>
    </w:p>
    <w:p>
      <w:pPr>
        <w:pStyle w:val="Normal"/>
      </w:pPr>
      <w:r>
        <w:rPr>
          <w:b/>
        </w:rPr>
        <w:t xml:space="preserve">Lo que no tratamos: </w:t>
      </w:r>
      <w:r>
        <w:t>no pedimos DNI, correo ni fecha de nacimiento; no leemos el DNI ni el domicilio del padrón para conversar; no conservamos audios; no guardamos datos de tarjeta; no usamos los datos para ningún fin propio ni los cruzamos con otros clientes.</w:t>
      </w:r>
    </w:p>
    <w:p>
      <w:pPr>
        <w:pStyle w:val="Heading1"/>
      </w:pPr>
      <w:bookmarkStart w:id="3" w:name="_TocBD000004"/>
      <w:r>
        <w:t>4. Datos de salud: el compromiso específico</w:t>
      </w:r>
      <w:bookmarkEnd w:id="3"/>
    </w:p>
    <w:p>
      <w:pPr>
        <w:pStyle w:val="ListNumber"/>
        <w:numPr>
          <w:ilvl w:val="0"/>
          <w:numId w:val="3"/>
        </w:numPr>
      </w:pPr>
      <w:r>
        <w:t>Una foto de receta o credencial se reconoce automáticamente y se guarda en un espacio temporal, accesible sólo con usuario autenticado del Cliente.</w:t>
      </w:r>
    </w:p>
    <w:p>
      <w:pPr>
        <w:pStyle w:val="ListNumber"/>
        <w:numPr>
          <w:ilvl w:val="0"/>
          <w:numId w:val="3"/>
        </w:numPr>
      </w:pPr>
      <w:r>
        <w:t>La conversación se deriva de inmediato a un operador. El asistente informa al cliente que una persona continuará y deja de responder de forma automática.</w:t>
      </w:r>
    </w:p>
    <w:p>
      <w:pPr>
        <w:pStyle w:val="ListNumber"/>
        <w:numPr>
          <w:ilvl w:val="0"/>
          <w:numId w:val="3"/>
        </w:numPr>
      </w:pPr>
      <w:r>
        <w:t>El operador cotiza y valida desde el panel. Ninguna decisión sobre la receta la toma el asistente.</w:t>
      </w:r>
    </w:p>
    <w:p>
      <w:pPr>
        <w:pStyle w:val="ListNumber"/>
        <w:numPr>
          <w:ilvl w:val="0"/>
          <w:numId w:val="3"/>
        </w:numPr>
      </w:pPr>
      <w:r>
        <w:t>A los 7 días la imagen se elimina. En el historial queda sólo la constancia de que hubo una derivación por receta.</w:t>
      </w:r>
    </w:p>
    <w:p>
      <w:pPr>
        <w:pStyle w:val="ListNumber"/>
        <w:numPr>
          <w:ilvl w:val="0"/>
          <w:numId w:val="3"/>
        </w:numPr>
      </w:pPr>
      <w:r>
        <w:t>Si el Cliente no es un establecimiento sanitario (por ejemplo, una mutual), el asistente no procesa recetas: deriva sin almacenar.</w:t>
      </w:r>
    </w:p>
    <w:p>
      <w:pPr>
        <w:pStyle w:val="Heading1"/>
      </w:pPr>
      <w:bookmarkStart w:id="4" w:name="_TocBD000005"/>
      <w:r>
        <w:t>5. Derechos del titular: cómo se ejercen</w:t>
      </w:r>
      <w:bookmarkEnd w:id="4"/>
    </w:p>
    <w:tbl>
      <w:tblPr>
        <w:tblStyle w:val="KISTabla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</w:tcPr>
          <w:p>
            <w:r>
              <w:t>Derecho</w:t>
            </w:r>
          </w:p>
        </w:tc>
        <w:tc>
          <w:tcPr>
            <w:tcW w:type="dxa" w:w="3278"/>
          </w:tcPr>
          <w:p>
            <w:r>
              <w:t>Cómo</w:t>
            </w:r>
          </w:p>
        </w:tc>
        <w:tc>
          <w:tcPr>
            <w:tcW w:type="dxa" w:w="3278"/>
          </w:tcPr>
          <w:p>
            <w:r>
              <w:t>Plazo</w:t>
            </w:r>
          </w:p>
        </w:tc>
      </w:tr>
      <w:tr>
        <w:tc>
          <w:tcPr>
            <w:tcW w:type="dxa" w:w="3278"/>
          </w:tcPr>
          <w:p>
            <w:r>
              <w:t>Información</w:t>
            </w:r>
          </w:p>
        </w:tc>
        <w:tc>
          <w:tcPr>
            <w:tcW w:type="dxa" w:w="3278"/>
          </w:tcPr>
          <w:p>
            <w:r>
              <w:t>Aviso en el primer mensaje</w:t>
            </w:r>
          </w:p>
        </w:tc>
        <w:tc>
          <w:tcPr>
            <w:tcW w:type="dxa" w:w="3278"/>
          </w:tcPr>
          <w:p>
            <w:r>
              <w:t>Inmediato</w:t>
            </w:r>
          </w:p>
        </w:tc>
      </w:tr>
      <w:tr>
        <w:tc>
          <w:tcPr>
            <w:tcW w:type="dxa" w:w="3278"/>
          </w:tcPr>
          <w:p>
            <w:r>
              <w:t>Baja de comunicaciones</w:t>
            </w:r>
          </w:p>
        </w:tc>
        <w:tc>
          <w:tcPr>
            <w:tcW w:type="dxa" w:w="3278"/>
          </w:tcPr>
          <w:p>
            <w:r>
              <w:t>Escribir BAJA en el chat</w:t>
            </w:r>
          </w:p>
        </w:tc>
        <w:tc>
          <w:tcPr>
            <w:tcW w:type="dxa" w:w="3278"/>
          </w:tcPr>
          <w:p>
            <w:r>
              <w:t>Inmediato</w:t>
            </w:r>
          </w:p>
        </w:tc>
      </w:tr>
      <w:tr>
        <w:tc>
          <w:tcPr>
            <w:tcW w:type="dxa" w:w="3278"/>
          </w:tcPr>
          <w:p>
            <w:r>
              <w:t>Acceso</w:t>
            </w:r>
          </w:p>
        </w:tc>
        <w:tc>
          <w:tcPr>
            <w:tcW w:type="dxa" w:w="3278"/>
          </w:tcPr>
          <w:p>
            <w:r>
              <w:t>Pedido al Cliente por WhatsApp, correo o el canal designado; exportación desde el panel</w:t>
            </w:r>
          </w:p>
        </w:tc>
        <w:tc>
          <w:tcPr>
            <w:tcW w:type="dxa" w:w="3278"/>
          </w:tcPr>
          <w:p>
            <w:r>
              <w:t>10 días corridos</w:t>
            </w:r>
          </w:p>
        </w:tc>
      </w:tr>
      <w:tr>
        <w:tc>
          <w:tcPr>
            <w:tcW w:type="dxa" w:w="3278"/>
          </w:tcPr>
          <w:p>
            <w:r>
              <w:t>Rectificación / actualización</w:t>
            </w:r>
          </w:p>
        </w:tc>
        <w:tc>
          <w:tcPr>
            <w:tcW w:type="dxa" w:w="3278"/>
          </w:tcPr>
          <w:p>
            <w:r>
              <w:t>Pedido al Cliente; corrección en padrón o pedido</w:t>
            </w:r>
          </w:p>
        </w:tc>
        <w:tc>
          <w:tcPr>
            <w:tcW w:type="dxa" w:w="3278"/>
          </w:tcPr>
          <w:p>
            <w:r>
              <w:t>5 días hábiles</w:t>
            </w:r>
          </w:p>
        </w:tc>
      </w:tr>
      <w:tr>
        <w:tc>
          <w:tcPr>
            <w:tcW w:type="dxa" w:w="3278"/>
          </w:tcPr>
          <w:p>
            <w:r>
              <w:t>Supresión</w:t>
            </w:r>
          </w:p>
        </w:tc>
        <w:tc>
          <w:tcPr>
            <w:tcW w:type="dxa" w:w="3278"/>
          </w:tcPr>
          <w:p>
            <w:r>
              <w:t>Pedido al Cliente; acción de supresión en el panel con auditoría</w:t>
            </w:r>
          </w:p>
        </w:tc>
        <w:tc>
          <w:tcPr>
            <w:tcW w:type="dxa" w:w="3278"/>
          </w:tcPr>
          <w:p>
            <w:r>
              <w:t>5 días hábiles</w:t>
            </w:r>
          </w:p>
        </w:tc>
      </w:tr>
    </w:tbl>
    <w:p>
      <w:pPr>
        <w:pStyle w:val="Caption"/>
      </w:pPr>
      <w:r>
        <w:t>Tabla 3. Derechos del titular y plazos.</w:t>
      </w:r>
    </w:p>
    <w:p>
      <w:pPr>
        <w:pStyle w:val="Heading1"/>
      </w:pPr>
      <w:bookmarkStart w:id="5" w:name="_TocBD000006"/>
      <w:r>
        <w:t>6. Medidas de seguridad comprometidas</w:t>
      </w:r>
      <w:bookmarkEnd w:id="5"/>
    </w:p>
    <w:tbl>
      <w:tblPr>
        <w:tblStyle w:val="KISTabla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</w:tcPr>
          <w:p>
            <w:r>
              <w:t>Dominio</w:t>
            </w:r>
          </w:p>
        </w:tc>
        <w:tc>
          <w:tcPr>
            <w:tcW w:type="dxa" w:w="4917"/>
          </w:tcPr>
          <w:p>
            <w:r>
              <w:t>Compromiso</w:t>
            </w:r>
          </w:p>
        </w:tc>
      </w:tr>
      <w:tr>
        <w:tc>
          <w:tcPr>
            <w:tcW w:type="dxa" w:w="4917"/>
          </w:tcPr>
          <w:p>
            <w:r>
              <w:t>Cifrado</w:t>
            </w:r>
          </w:p>
        </w:tc>
        <w:tc>
          <w:tcPr>
            <w:tcW w:type="dxa" w:w="4917"/>
          </w:tcPr>
          <w:p>
            <w:r>
              <w:t>TLS 1.2+ en toda comunicación. Discos cifrados por el proveedor de nube; imágenes de recetas y padrón cifrados además a nivel de aplicación con clave rotable.</w:t>
            </w:r>
          </w:p>
        </w:tc>
      </w:tr>
      <w:tr>
        <w:tc>
          <w:tcPr>
            <w:tcW w:type="dxa" w:w="4917"/>
          </w:tcPr>
          <w:p>
            <w:r>
              <w:t>Control de acceso</w:t>
            </w:r>
          </w:p>
        </w:tc>
        <w:tc>
          <w:tcPr>
            <w:tcW w:type="dxa" w:w="4917"/>
          </w:tcPr>
          <w:p>
            <w:r>
              <w:t>Usuarios individuales con contraseña y roles (administrador, dueño, operador). Sin claves compartidas. Sesiones con expiración. Baja inmediata al desvincular a un operador.</w:t>
            </w:r>
          </w:p>
        </w:tc>
      </w:tr>
      <w:tr>
        <w:tc>
          <w:tcPr>
            <w:tcW w:type="dxa" w:w="4917"/>
          </w:tcPr>
          <w:p>
            <w:r>
              <w:t>Auditoría</w:t>
            </w:r>
          </w:p>
        </w:tc>
        <w:tc>
          <w:tcPr>
            <w:tcW w:type="dxa" w:w="4917"/>
          </w:tcPr>
          <w:p>
            <w:r>
              <w:t>Registro de quién vio, tomó, cotizó, preparó, entregó, exportó o suprimió, con fecha y hora. Retención 24 meses.</w:t>
            </w:r>
          </w:p>
        </w:tc>
      </w:tr>
      <w:tr>
        <w:tc>
          <w:tcPr>
            <w:tcW w:type="dxa" w:w="4917"/>
          </w:tcPr>
          <w:p>
            <w:r>
              <w:t>Registros técnicos</w:t>
            </w:r>
          </w:p>
        </w:tc>
        <w:tc>
          <w:tcPr>
            <w:tcW w:type="dxa" w:w="4917"/>
          </w:tcPr>
          <w:p>
            <w:r>
              <w:t>Sin contenido de mensajes ni teléfonos completos (se conservan los últimos 4 dígitos).</w:t>
            </w:r>
          </w:p>
        </w:tc>
      </w:tr>
      <w:tr>
        <w:tc>
          <w:tcPr>
            <w:tcW w:type="dxa" w:w="4917"/>
          </w:tcPr>
          <w:p>
            <w:r>
              <w:t>Respaldo</w:t>
            </w:r>
          </w:p>
        </w:tc>
        <w:tc>
          <w:tcPr>
            <w:tcW w:type="dxa" w:w="4917"/>
          </w:tcPr>
          <w:p>
            <w:r>
              <w:t>Copias diarias cifradas, retención 30 días, restauración probada trimestralmente.</w:t>
            </w:r>
          </w:p>
        </w:tc>
      </w:tr>
      <w:tr>
        <w:tc>
          <w:tcPr>
            <w:tcW w:type="dxa" w:w="4917"/>
          </w:tcPr>
          <w:p>
            <w:r>
              <w:t>Vulnerabilidades y cambios</w:t>
            </w:r>
          </w:p>
        </w:tc>
        <w:tc>
          <w:tcPr>
            <w:tcW w:type="dxa" w:w="4917"/>
          </w:tcPr>
          <w:p>
            <w:r>
              <w:t>Dependencias monitoreadas; parches críticos en 7 días; todo cambio pasa por control de versiones y pruebas; revisión de seguridad previa al go-live y anual.</w:t>
            </w:r>
          </w:p>
        </w:tc>
      </w:tr>
      <w:tr>
        <w:tc>
          <w:tcPr>
            <w:tcW w:type="dxa" w:w="4917"/>
          </w:tcPr>
          <w:p>
            <w:r>
              <w:t>Incidentes</w:t>
            </w:r>
          </w:p>
        </w:tc>
        <w:tc>
          <w:tcPr>
            <w:tcW w:type="dxa" w:w="4917"/>
          </w:tcPr>
          <w:p>
            <w:r>
              <w:t>Procedimiento documentado; notificación al Cliente dentro de las 72 horas de detectado, con naturaleza, alcance y medidas; simulacro antes del go-live.</w:t>
            </w:r>
          </w:p>
        </w:tc>
      </w:tr>
      <w:tr>
        <w:tc>
          <w:tcPr>
            <w:tcW w:type="dxa" w:w="4917"/>
          </w:tcPr>
          <w:p>
            <w:r>
              <w:t>Entornos</w:t>
            </w:r>
          </w:p>
        </w:tc>
        <w:tc>
          <w:tcPr>
            <w:tcW w:type="dxa" w:w="4917"/>
          </w:tcPr>
          <w:p>
            <w:r>
              <w:t>Desarrollo y pruebas separados de producción, sin datos reales de titulares.</w:t>
            </w:r>
          </w:p>
        </w:tc>
      </w:tr>
      <w:tr>
        <w:tc>
          <w:tcPr>
            <w:tcW w:type="dxa" w:w="4917"/>
          </w:tcPr>
          <w:p>
            <w:r>
              <w:t>Aislamiento</w:t>
            </w:r>
          </w:p>
        </w:tc>
        <w:tc>
          <w:tcPr>
            <w:tcW w:type="dxa" w:w="4917"/>
          </w:tcPr>
          <w:p>
            <w:r>
              <w:t>Cada Cliente en un despliegue propio con base de datos, caché y credenciales separadas.</w:t>
            </w:r>
          </w:p>
        </w:tc>
      </w:tr>
      <w:tr>
        <w:tc>
          <w:tcPr>
            <w:tcW w:type="dxa" w:w="4917"/>
          </w:tcPr>
          <w:p>
            <w:r>
              <w:t>Personal</w:t>
            </w:r>
          </w:p>
        </w:tc>
        <w:tc>
          <w:tcPr>
            <w:tcW w:type="dxa" w:w="4917"/>
          </w:tcPr>
          <w:p>
            <w:r>
              <w:t>Acuerdos de confidencialidad, acceso nominal y revocable, capacitación anual.</w:t>
            </w:r>
          </w:p>
        </w:tc>
      </w:tr>
    </w:tbl>
    <w:p>
      <w:pPr>
        <w:pStyle w:val="Caption"/>
      </w:pPr>
      <w:r>
        <w:t>Tabla 4. Medidas de seguridad por dominio.</w:t>
      </w:r>
    </w:p>
    <w:p>
      <w:pPr>
        <w:pStyle w:val="Heading1"/>
      </w:pPr>
      <w:bookmarkStart w:id="6" w:name="_TocBD000007"/>
      <w:r>
        <w:t>7. Terceros que intervienen</w:t>
      </w:r>
      <w:bookmarkEnd w:id="6"/>
    </w:p>
    <w:p>
      <w:pPr>
        <w:pStyle w:val="Normal"/>
      </w:pPr>
      <w:r>
        <w:t>Lista cerrada. Cualquier cambio se notifica al Cliente con 30 días de antelación y derecho de objeción.</w:t>
      </w:r>
    </w:p>
    <w:tbl>
      <w:tblPr>
        <w:tblStyle w:val="KISTabla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</w:tcPr>
          <w:p>
            <w:r>
              <w:t>Tercero</w:t>
            </w:r>
          </w:p>
        </w:tc>
        <w:tc>
          <w:tcPr>
            <w:tcW w:type="dxa" w:w="2459"/>
          </w:tcPr>
          <w:p>
            <w:r>
              <w:t>Para qué</w:t>
            </w:r>
          </w:p>
        </w:tc>
        <w:tc>
          <w:tcPr>
            <w:tcW w:type="dxa" w:w="2459"/>
          </w:tcPr>
          <w:p>
            <w:r>
              <w:t>Qué recibe</w:t>
            </w:r>
          </w:p>
        </w:tc>
        <w:tc>
          <w:tcPr>
            <w:tcW w:type="dxa" w:w="2459"/>
          </w:tcPr>
          <w:p>
            <w:r>
              <w:t>País</w:t>
            </w:r>
          </w:p>
        </w:tc>
      </w:tr>
      <w:tr>
        <w:tc>
          <w:tcPr>
            <w:tcW w:type="dxa" w:w="2459"/>
          </w:tcPr>
          <w:p>
            <w:r>
              <w:t>Meta (WhatsApp Business Platform)</w:t>
            </w:r>
          </w:p>
        </w:tc>
        <w:tc>
          <w:tcPr>
            <w:tcW w:type="dxa" w:w="2459"/>
          </w:tcPr>
          <w:p>
            <w:r>
              <w:t>Canal de mensajería</w:t>
            </w:r>
          </w:p>
        </w:tc>
        <w:tc>
          <w:tcPr>
            <w:tcW w:type="dxa" w:w="2459"/>
          </w:tcPr>
          <w:p>
            <w:r>
              <w:t>Teléfono, mensajes y archivos</w:t>
            </w:r>
          </w:p>
        </w:tc>
        <w:tc>
          <w:tcPr>
            <w:tcW w:type="dxa" w:w="2459"/>
          </w:tcPr>
          <w:p>
            <w:r>
              <w:t>EE. UU.</w:t>
            </w:r>
          </w:p>
        </w:tc>
      </w:tr>
      <w:tr>
        <w:tc>
          <w:tcPr>
            <w:tcW w:type="dxa" w:w="2459"/>
          </w:tcPr>
          <w:p>
            <w:r>
              <w:t>Anthropic / OpenAI</w:t>
            </w:r>
          </w:p>
        </w:tc>
        <w:tc>
          <w:tcPr>
            <w:tcW w:type="dxa" w:w="2459"/>
          </w:tcPr>
          <w:p>
            <w:r>
              <w:t>Interpretar mensajes y redactar respuestas; clasificar imágenes</w:t>
            </w:r>
          </w:p>
        </w:tc>
        <w:tc>
          <w:tcPr>
            <w:tcW w:type="dxa" w:w="2459"/>
          </w:tcPr>
          <w:p>
            <w:r>
              <w:t>Últimos turnos de la conversación, nombre y número de socio. Imágenes sólo si el Cliente habilita la lectura de recetas</w:t>
            </w:r>
          </w:p>
        </w:tc>
        <w:tc>
          <w:tcPr>
            <w:tcW w:type="dxa" w:w="2459"/>
          </w:tcPr>
          <w:p>
            <w:r>
              <w:t>EE. UU.</w:t>
            </w:r>
          </w:p>
        </w:tc>
      </w:tr>
      <w:tr>
        <w:tc>
          <w:tcPr>
            <w:tcW w:type="dxa" w:w="2459"/>
          </w:tcPr>
          <w:p>
            <w:r>
              <w:t>Groq</w:t>
            </w:r>
          </w:p>
        </w:tc>
        <w:tc>
          <w:tcPr>
            <w:tcW w:type="dxa" w:w="2459"/>
          </w:tcPr>
          <w:p>
            <w:r>
              <w:t>Transcribir audios</w:t>
            </w:r>
          </w:p>
        </w:tc>
        <w:tc>
          <w:tcPr>
            <w:tcW w:type="dxa" w:w="2459"/>
          </w:tcPr>
          <w:p>
            <w:r>
              <w:t>El audio, sin conservarlo</w:t>
            </w:r>
          </w:p>
        </w:tc>
        <w:tc>
          <w:tcPr>
            <w:tcW w:type="dxa" w:w="2459"/>
          </w:tcPr>
          <w:p>
            <w:r>
              <w:t>EE. UU.</w:t>
            </w:r>
          </w:p>
        </w:tc>
      </w:tr>
      <w:tr>
        <w:tc>
          <w:tcPr>
            <w:tcW w:type="dxa" w:w="2459"/>
          </w:tcPr>
          <w:p>
            <w:r>
              <w:t>Mercado Pago / Payway</w:t>
            </w:r>
          </w:p>
        </w:tc>
        <w:tc>
          <w:tcPr>
            <w:tcW w:type="dxa" w:w="2459"/>
          </w:tcPr>
          <w:p>
            <w:r>
              <w:t>Cobrar</w:t>
            </w:r>
          </w:p>
        </w:tc>
        <w:tc>
          <w:tcPr>
            <w:tcW w:type="dxa" w:w="2459"/>
          </w:tcPr>
          <w:p>
            <w:r>
              <w:t>Ítem, monto, token de tarjeta generado en el navegador</w:t>
            </w:r>
          </w:p>
        </w:tc>
        <w:tc>
          <w:tcPr>
            <w:tcW w:type="dxa" w:w="2459"/>
          </w:tcPr>
          <w:p>
            <w:r>
              <w:t>Argentina</w:t>
            </w:r>
          </w:p>
        </w:tc>
      </w:tr>
      <w:tr>
        <w:tc>
          <w:tcPr>
            <w:tcW w:type="dxa" w:w="2459"/>
          </w:tcPr>
          <w:p>
            <w:r>
              <w:t>Proveedor de nube</w:t>
            </w:r>
          </w:p>
        </w:tc>
        <w:tc>
          <w:tcPr>
            <w:tcW w:type="dxa" w:w="2459"/>
          </w:tcPr>
          <w:p>
            <w:r>
              <w:t>Alojar el servicio</w:t>
            </w:r>
          </w:p>
        </w:tc>
        <w:tc>
          <w:tcPr>
            <w:tcW w:type="dxa" w:w="2459"/>
          </w:tcPr>
          <w:p>
            <w:r>
              <w:t>Todos los datos, cifrados en reposo</w:t>
            </w:r>
          </w:p>
        </w:tc>
        <w:tc>
          <w:tcPr>
            <w:tcW w:type="dxa" w:w="2459"/>
          </w:tcPr>
          <w:p>
            <w:r>
              <w:t>EE. UU. o región acordada</w:t>
            </w:r>
          </w:p>
        </w:tc>
      </w:tr>
    </w:tbl>
    <w:p>
      <w:pPr>
        <w:pStyle w:val="Caption"/>
      </w:pPr>
      <w:r>
        <w:t>Tabla 5. Subencargados y datos que reciben.</w:t>
      </w:r>
    </w:p>
    <w:p>
      <w:pPr>
        <w:pStyle w:val="Normal"/>
      </w:pPr>
      <w:r>
        <w:t>Con todos ellos: contrato o términos que prohíben usar los datos para fines propios o entrenamiento de modelos, y cláusulas de transferencia internacional según la Disposición 60-E/2016.</w:t>
      </w:r>
    </w:p>
    <w:p>
      <w:pPr>
        <w:pStyle w:val="Heading1"/>
      </w:pPr>
      <w:bookmarkStart w:id="7" w:name="_TocBD000008"/>
      <w:r>
        <w:t>8. Cuándo se cumple cada cosa</w:t>
      </w:r>
      <w:bookmarkEnd w:id="7"/>
    </w:p>
    <w:p>
      <w:pPr>
        <w:pStyle w:val="Normal"/>
      </w:pPr>
      <w:r>
        <w:t>Los compromisos se completan durante la implementación y se verifican en el acta de aceptación. Ninguno queda para después del inicio en producción.</w:t>
      </w:r>
    </w:p>
    <w:tbl>
      <w:tblPr>
        <w:tblStyle w:val="KISTabla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</w:tcPr>
          <w:p>
            <w:r>
              <w:t>Momento</w:t>
            </w:r>
          </w:p>
        </w:tc>
        <w:tc>
          <w:tcPr>
            <w:tcW w:type="dxa" w:w="4917"/>
          </w:tcPr>
          <w:p>
            <w:r>
              <w:t>Compromisos que quedan cumplidos</w:t>
            </w:r>
          </w:p>
        </w:tc>
      </w:tr>
      <w:tr>
        <w:tc>
          <w:tcPr>
            <w:tcW w:type="dxa" w:w="4917"/>
          </w:tcPr>
          <w:p>
            <w:r>
              <w:t>Semana 1</w:t>
            </w:r>
          </w:p>
        </w:tc>
        <w:tc>
          <w:tcPr>
            <w:tcW w:type="dxa" w:w="4917"/>
          </w:tcPr>
          <w:p>
            <w:r>
              <w:t>Contrato de encargo firmado; lista de subencargados aprobada; política de retención definida; descripción técnica para la inscripción ante la AAIP entregada; acuerdos de confidencialidad.</w:t>
            </w:r>
          </w:p>
        </w:tc>
      </w:tr>
      <w:tr>
        <w:tc>
          <w:tcPr>
            <w:tcW w:type="dxa" w:w="4917"/>
          </w:tcPr>
          <w:p>
            <w:r>
              <w:t>Semana 2</w:t>
            </w:r>
          </w:p>
        </w:tc>
        <w:tc>
          <w:tcPr>
            <w:tcW w:type="dxa" w:w="4917"/>
          </w:tcPr>
          <w:p>
            <w:r>
              <w:t>Aviso de privacidad y palabra BAJA operativos; usuarios y roles del panel; registro de auditoría.</w:t>
            </w:r>
          </w:p>
        </w:tc>
      </w:tr>
      <w:tr>
        <w:tc>
          <w:tcPr>
            <w:tcW w:type="dxa" w:w="4917"/>
          </w:tcPr>
          <w:p>
            <w:r>
              <w:t>Semana 3</w:t>
            </w:r>
          </w:p>
        </w:tc>
        <w:tc>
          <w:tcPr>
            <w:tcW w:type="dxa" w:w="4917"/>
          </w:tcPr>
          <w:p>
            <w:r>
              <w:t>Cifrado en reposo de imágenes y padrón; depuración automática del historial; acción de supresión y exportación por titular; revisión de seguridad.</w:t>
            </w:r>
          </w:p>
        </w:tc>
      </w:tr>
      <w:tr>
        <w:tc>
          <w:tcPr>
            <w:tcW w:type="dxa" w:w="4917"/>
          </w:tcPr>
          <w:p>
            <w:r>
              <w:t>Semana 4</w:t>
            </w:r>
          </w:p>
        </w:tc>
        <w:tc>
          <w:tcPr>
            <w:tcW w:type="dxa" w:w="4917"/>
          </w:tcPr>
          <w:p>
            <w:r>
              <w:t>Pruebas de ejercicio de derechos con datos sintéticos; simulacro de incidente; capacitación de operadores.</w:t>
            </w:r>
          </w:p>
        </w:tc>
      </w:tr>
      <w:tr>
        <w:tc>
          <w:tcPr>
            <w:tcW w:type="dxa" w:w="4917"/>
          </w:tcPr>
          <w:p>
            <w:r>
              <w:t>Go-live</w:t>
            </w:r>
          </w:p>
        </w:tc>
        <w:tc>
          <w:tcPr>
            <w:tcW w:type="dxa" w:w="4917"/>
          </w:tcPr>
          <w:p>
            <w:r>
              <w:t>Acta de aceptación con el checklist de 20 controles firmado por ambas partes.</w:t>
            </w:r>
          </w:p>
        </w:tc>
      </w:tr>
      <w:tr>
        <w:tc>
          <w:tcPr>
            <w:tcW w:type="dxa" w:w="4917"/>
          </w:tcPr>
          <w:p>
            <w:r>
              <w:t>Continuo</w:t>
            </w:r>
          </w:p>
        </w:tc>
        <w:tc>
          <w:tcPr>
            <w:tcW w:type="dxa" w:w="4917"/>
          </w:tcPr>
          <w:p>
            <w:r>
              <w:t>Revisión anual de medidas y subencargados; restauración trimestral; notificación de incidentes en 72 h; asistencia al Cliente en 48 h hábiles.</w:t>
            </w:r>
          </w:p>
        </w:tc>
      </w:tr>
    </w:tbl>
    <w:p>
      <w:pPr>
        <w:pStyle w:val="Caption"/>
      </w:pPr>
      <w:r>
        <w:t>Tabla 6. Cronograma de cumplimiento.</w:t>
      </w:r>
    </w:p>
    <w:p>
      <w:r>
        <w:br w:type="page"/>
      </w:r>
    </w:p>
    <w:p>
      <w:pPr>
        <w:pStyle w:val="Heading1"/>
      </w:pPr>
      <w:bookmarkStart w:id="8" w:name="_TocBD000009"/>
      <w:r>
        <w:t>9. Firmas</w:t>
      </w:r>
      <w:bookmarkEnd w:id="8"/>
    </w:p>
    <w:p>
      <w:pPr>
        <w:pStyle w:val="Normal"/>
      </w:pPr>
      <w:r>
        <w:t>Las partes suscriben la presente declaración como parte integrante de la propuesta de implementación de Remedia. Los compromisos aquí enunciados se incorporan al contrato de servicio y al contrato de encargo de tratamiento.</w:t>
      </w:r>
    </w:p>
    <w:tbl>
      <w:tblPr>
        <w:tblStyle w:val="KISTabla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</w:tcPr>
          <w:p>
            <w:r>
              <w:t>Por Keep IT Simple</w:t>
            </w:r>
          </w:p>
        </w:tc>
        <w:tc>
          <w:tcPr>
            <w:tcW w:type="dxa" w:w="4917"/>
          </w:tcPr>
          <w:p>
            <w:r>
              <w:t>Por [CLIENTE]</w:t>
            </w:r>
          </w:p>
        </w:tc>
      </w:tr>
      <w:tr>
        <w:tc>
          <w:tcPr>
            <w:tcW w:type="dxa" w:w="4917"/>
          </w:tcPr>
          <w:p>
            <w:r>
              <w:t>Firma: ______________________________</w:t>
            </w:r>
          </w:p>
        </w:tc>
        <w:tc>
          <w:tcPr>
            <w:tcW w:type="dxa" w:w="4917"/>
          </w:tcPr>
          <w:p>
            <w:r>
              <w:t>Firma: ______________________________</w:t>
            </w:r>
          </w:p>
        </w:tc>
      </w:tr>
      <w:tr>
        <w:tc>
          <w:tcPr>
            <w:tcW w:type="dxa" w:w="4917"/>
          </w:tcPr>
          <w:p>
            <w:r>
              <w:t>Aclaración: __________________________</w:t>
            </w:r>
          </w:p>
        </w:tc>
        <w:tc>
          <w:tcPr>
            <w:tcW w:type="dxa" w:w="4917"/>
          </w:tcPr>
          <w:p>
            <w:r>
              <w:t>Aclaración: __________________________</w:t>
            </w:r>
          </w:p>
        </w:tc>
      </w:tr>
      <w:tr>
        <w:tc>
          <w:tcPr>
            <w:tcW w:type="dxa" w:w="4917"/>
          </w:tcPr>
          <w:p>
            <w:r>
              <w:t>Cargo: ______________________________</w:t>
            </w:r>
          </w:p>
        </w:tc>
        <w:tc>
          <w:tcPr>
            <w:tcW w:type="dxa" w:w="4917"/>
          </w:tcPr>
          <w:p>
            <w:r>
              <w:t>Cargo: ______________________________</w:t>
            </w:r>
          </w:p>
        </w:tc>
      </w:tr>
      <w:tr>
        <w:tc>
          <w:tcPr>
            <w:tcW w:type="dxa" w:w="4917"/>
          </w:tcPr>
          <w:p>
            <w:r>
              <w:t>Fecha: ____ / ____ / ________</w:t>
            </w:r>
          </w:p>
        </w:tc>
        <w:tc>
          <w:tcPr>
            <w:tcW w:type="dxa" w:w="4917"/>
          </w:tcPr>
          <w:p>
            <w:r>
              <w:t>Fecha: ____ / ____ / ________</w:t>
            </w:r>
          </w:p>
        </w:tc>
      </w:tr>
    </w:tbl>
    <w:p>
      <w:pPr>
        <w:pStyle w:val="Caption"/>
      </w:pPr>
      <w:r>
        <w:t>Tabla 7. Bloque de firmas.</w:t>
      </w:r>
    </w:p>
    <w:sectPr>
      <w:headerReference w:type="default" r:id="rId9"/>
      <w:footerReference w:type="default" r:id="rId10"/>
      <w:pgSz w:w="11907" w:h="16839" w:orient="portrait"/>
      <w:pgMar w:top="1440" w:right="992" w:bottom="1150" w:left="1080" w:header="56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2828925">
          <wp:simplePos x="0" y="0"/>
          <wp:positionH relativeFrom="page">
            <wp:posOffset>-548640</wp:posOffset>
          </wp:positionH>
          <wp:positionV relativeFrom="page">
            <wp:posOffset>8092440</wp:posOffset>
          </wp:positionV>
          <wp:extent cx="2667000" cy="28289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2828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drawing>
        <wp:anchor distT="0" distB="0" distL="0" distR="0" simplePos="0" allowOverlap="1" behindDoc="1" locked="0" layoutInCell="1" relativeHeight="2324100">
          <wp:simplePos x="0" y="0"/>
          <wp:positionH relativeFrom="page">
            <wp:posOffset>-1325880</wp:posOffset>
          </wp:positionH>
          <wp:positionV relativeFrom="page">
            <wp:posOffset>8778240</wp:posOffset>
          </wp:positionV>
          <wp:extent cx="2190750" cy="23241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232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1907"/>
      <w:tblInd w:type="dxa" w:w="-1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000"/>
      <w:gridCol w:w="8907"/>
    </w:tblGrid>
    <w:tr>
      <w:trPr>
        <w:trHeight w:val="520" w:hRule="exact"/>
      </w:trPr>
      <w:tc>
        <w:tcPr>
          <w:tcW w:type="dxa" w:w="3000"/>
          <w:shd w:fill="7F7F7F" w:color="auto" w:val="clear"/>
          <w:tcMar>
            <w:top w:type="dxa" w:w="40"/>
            <w:left w:type="dxa" w:w="1500"/>
            <w:bottom w:type="dxa" w:w="40"/>
          </w:tcMar>
          <w:vAlign w:val="center"/>
        </w:tcPr>
        <w:p>
          <w:pPr>
            <w:spacing w:after="0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Página </w:t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 de </w:t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8907"/>
          <w:shd w:fill="7F7F7F" w:color="auto" w:val="clear"/>
          <w:tcMar>
            <w:top w:type="dxa" w:w="40"/>
            <w:bottom w:type="dxa" w:w="40"/>
            <w:right w:type="dxa" w:w="300"/>
          </w:tcMar>
          <w:vAlign w:val="center"/>
        </w:tcPr>
        <w:p>
          <w:pPr>
            <w:spacing w:after="0"/>
            <w:jc w:val="right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www.keepitsimple.com.ar  |  contacto@keepitsimple.com.ar</w:t>
          </w:r>
        </w:p>
        <w:p>
          <w:pPr>
            <w:spacing w:after="0"/>
            <w:jc w:val="right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Av. Luis Cándido Carballo 183 Piso 3 Of. 3  |  Rosario  |  Santa Fe  |  Argentina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7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907"/>
    </w:tblGrid>
    <w:tr>
      <w:trPr>
        <w:trHeight w:val="4400" w:hRule="exact"/>
      </w:trPr>
      <w:tc>
        <w:tcPr>
          <w:tcW w:type="dxa" w:w="11907"/>
          <w:shd w:fill="EDEDED" w:color="auto" w:val="clear"/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3200400" cy="1000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00400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F7F" w:sz="24" w:space="6"/>
      </w:pBdr>
      <w:spacing w:after="80"/>
      <w:jc w:val="right"/>
    </w:pPr>
    <w:r>
      <w:drawing>
        <wp:inline distT="0" distB="0" distL="0" distR="0">
          <wp:extent cx="1428750" cy="4476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Trebuchet MS" w:cs="Trebuchet MS" w:eastAsia="Trebuchet MS" w:hAnsi="Trebuchet M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rebuchet MS" w:cs="Trebuchet MS" w:eastAsia="Trebuchet MS" w:hAnsi="Trebuchet M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64"/>
      <w:jc w:val="left"/>
    </w:pPr>
    <w:rPr>
      <w:rFonts w:ascii="Trebuchet MS" w:cs="Trebuchet MS" w:eastAsia="Trebuchet MS" w:hAnsi="Trebuchet MS"/>
      <w:color w:val="000000"/>
      <w:sz w:val="22"/>
      <w:szCs w:val="22"/>
    </w:rPr>
  </w:style>
  <w:style w:type="paragraph" w:styleId="Title">
    <w:name w:val="Title"/>
    <w:basedOn w:val="Normal"/>
    <w:next w:val="Normal"/>
    <w:qFormat/>
    <w:pPr>
      <w:spacing w:after="240" w:line="276"/>
      <w:ind w:left="1300" w:right="1300"/>
      <w:jc w:val="center"/>
    </w:pPr>
    <w:rPr>
      <w:rFonts w:ascii="Trebuchet MS" w:cs="Trebuchet MS" w:eastAsia="Trebuchet MS" w:hAnsi="Trebuchet MS"/>
      <w:color w:val="595959"/>
      <w:sz w:val="60"/>
      <w:szCs w:val="60"/>
    </w:rPr>
  </w:style>
  <w:style w:type="paragraph" w:styleId="Subtitle">
    <w:name w:val="Subtitle"/>
    <w:basedOn w:val="Normal"/>
    <w:next w:val="Normal"/>
    <w:qFormat/>
    <w:pPr>
      <w:spacing w:after="200"/>
      <w:ind w:left="1300" w:right="1300"/>
      <w:jc w:val="center"/>
    </w:pPr>
    <w:rPr>
      <w:rFonts w:ascii="Trebuchet MS" w:cs="Trebuchet MS" w:eastAsia="Trebuchet MS" w:hAnsi="Trebuchet MS"/>
      <w:i/>
      <w:iCs/>
      <w:color w:val="595959"/>
      <w:sz w:val="26"/>
      <w:szCs w:val="26"/>
    </w:rPr>
  </w:style>
  <w:style w:type="paragraph" w:styleId="KISPortadaDato">
    <w:name w:val="KIS Portada Dato"/>
    <w:basedOn w:val="Normal"/>
    <w:next w:val="Normal"/>
    <w:pPr>
      <w:spacing w:after="80"/>
      <w:jc w:val="center"/>
    </w:pPr>
    <w:rPr>
      <w:rFonts w:ascii="Trebuchet MS" w:cs="Trebuchet MS" w:eastAsia="Trebuchet MS" w:hAnsi="Trebuchet MS"/>
      <w:color w:val="595959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F9900" w:sz="8" w:space="3"/>
      </w:pBdr>
      <w:spacing w:after="200" w:before="360"/>
      <w:jc w:val="left"/>
      <w:outlineLvl w:val="0"/>
    </w:pPr>
    <w:rPr>
      <w:rFonts w:ascii="Trebuchet MS" w:cs="Trebuchet MS" w:eastAsia="Trebuchet MS" w:hAnsi="Trebuchet MS"/>
      <w:b/>
      <w:bCs/>
      <w:color w:val="FF99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jc w:val="left"/>
      <w:outlineLvl w:val="1"/>
    </w:pPr>
    <w:rPr>
      <w:rFonts w:ascii="Trebuchet MS" w:cs="Trebuchet MS" w:eastAsia="Trebuchet MS" w:hAnsi="Trebuchet MS"/>
      <w:b/>
      <w:bCs/>
      <w:color w:val="FF99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jc w:val="left"/>
      <w:outlineLvl w:val="2"/>
    </w:pPr>
    <w:rPr>
      <w:rFonts w:ascii="Trebuchet MS" w:cs="Trebuchet MS" w:eastAsia="Trebuchet MS" w:hAnsi="Trebuchet MS"/>
      <w:b/>
      <w:bCs/>
      <w:color w:val="595959"/>
      <w:sz w:val="23"/>
      <w:szCs w:val="23"/>
    </w:rPr>
  </w:style>
  <w:style w:type="paragraph" w:styleId="TOCHeading">
    <w:name w:val="TOC Heading"/>
    <w:basedOn w:val="Normal"/>
    <w:next w:val="Normal"/>
    <w:pPr>
      <w:pBdr>
        <w:bottom w:val="single" w:color="FF9900" w:sz="8" w:space="3"/>
      </w:pBdr>
      <w:spacing w:after="200"/>
      <w:jc w:val="left"/>
    </w:pPr>
    <w:rPr>
      <w:rFonts w:ascii="Trebuchet MS" w:cs="Trebuchet MS" w:eastAsia="Trebuchet MS" w:hAnsi="Trebuchet MS"/>
      <w:b/>
      <w:bCs/>
      <w:color w:val="FF9900"/>
      <w:sz w:val="32"/>
      <w:szCs w:val="32"/>
    </w:rPr>
  </w:style>
  <w:style w:type="paragraph" w:styleId="TOC1">
    <w:name w:val="toc 1"/>
    <w:basedOn w:val="Normal"/>
    <w:next w:val="Normal"/>
    <w:pPr>
      <w:spacing w:after="70"/>
      <w:jc w:val="left"/>
    </w:pPr>
    <w:rPr>
      <w:rFonts w:ascii="Trebuchet MS" w:cs="Trebuchet MS" w:eastAsia="Trebuchet MS" w:hAnsi="Trebuchet MS"/>
      <w:color w:val="000000"/>
      <w:sz w:val="21"/>
      <w:szCs w:val="21"/>
    </w:rPr>
  </w:style>
  <w:style w:type="paragraph" w:styleId="TOC2">
    <w:name w:val="toc 2"/>
    <w:basedOn w:val="Normal"/>
    <w:next w:val="Normal"/>
    <w:pPr>
      <w:spacing w:after="50"/>
      <w:ind w:left="360"/>
      <w:jc w:val="left"/>
    </w:pPr>
    <w:rPr>
      <w:rFonts w:ascii="Trebuchet MS" w:cs="Trebuchet MS" w:eastAsia="Trebuchet MS" w:hAnsi="Trebuchet MS"/>
      <w:color w:val="595959"/>
      <w:sz w:val="19"/>
      <w:szCs w:val="19"/>
    </w:rPr>
  </w:style>
  <w:style w:type="paragraph" w:styleId="Caption">
    <w:name w:val="Caption"/>
    <w:basedOn w:val="Normal"/>
    <w:next w:val="Normal"/>
    <w:qFormat/>
    <w:pPr>
      <w:spacing w:after="200" w:before="60"/>
      <w:jc w:val="left"/>
    </w:pPr>
    <w:rPr>
      <w:rFonts w:ascii="Trebuchet MS" w:cs="Trebuchet MS" w:eastAsia="Trebuchet MS" w:hAnsi="Trebuchet MS"/>
      <w:i/>
      <w:iCs/>
      <w:color w:val="595959"/>
      <w:sz w:val="18"/>
      <w:szCs w:val="18"/>
    </w:rPr>
  </w:style>
  <w:style w:type="paragraph" w:styleId="KISNota">
    <w:name w:val="KIS Nota"/>
    <w:basedOn w:val="Normal"/>
    <w:next w:val="Normal"/>
    <w:qFormat/>
    <w:pPr>
      <w:pBdr>
        <w:top w:val="single" w:color="F2F2F2" w:sz="0" w:space="6"/>
        <w:bottom w:val="single" w:color="F2F2F2" w:sz="0" w:space="6"/>
        <w:left w:val="single" w:color="FF9900" w:sz="36" w:space="8"/>
      </w:pBdr>
      <w:shd w:fill="F2F2F2" w:color="auto" w:val="clear"/>
      <w:spacing w:after="160" w:before="120" w:line="264"/>
      <w:ind w:left="220" w:right="200"/>
      <w:jc w:val="left"/>
    </w:pPr>
    <w:rPr>
      <w:rFonts w:ascii="Trebuchet MS" w:cs="Trebuchet MS" w:eastAsia="Trebuchet MS" w:hAnsi="Trebuchet MS"/>
      <w:color w:val="000000"/>
      <w:sz w:val="21"/>
      <w:szCs w:val="21"/>
    </w:rPr>
  </w:style>
  <w:style w:type="paragraph" w:styleId="ListBullet">
    <w:name w:val="List Bullet"/>
    <w:basedOn w:val="Normal"/>
    <w:next w:val="ListBullet"/>
    <w:qFormat/>
    <w:pPr>
      <w:pStyle w:val="ListParagraph"/>
      <w:numPr>
        <w:ilvl w:val="0"/>
        <w:numId w:val="2"/>
      </w:numPr>
      <w:spacing w:after="80" w:line="264"/>
    </w:pPr>
    <w:rPr>
      <w:rFonts w:ascii="Trebuchet MS" w:cs="Trebuchet MS" w:eastAsia="Trebuchet MS" w:hAnsi="Trebuchet MS"/>
      <w:color w:val="000000"/>
      <w:sz w:val="22"/>
      <w:szCs w:val="22"/>
    </w:rPr>
  </w:style>
  <w:style w:type="paragraph" w:styleId="ListNumber">
    <w:name w:val="List Number"/>
    <w:basedOn w:val="Normal"/>
    <w:next w:val="ListNumber"/>
    <w:qFormat/>
    <w:pPr>
      <w:pStyle w:val="ListParagraph"/>
      <w:numPr>
        <w:ilvl w:val="0"/>
        <w:numId w:val="3"/>
      </w:numPr>
      <w:spacing w:after="80" w:line="264"/>
    </w:pPr>
    <w:rPr>
      <w:rFonts w:ascii="Trebuchet MS" w:cs="Trebuchet MS" w:eastAsia="Trebuchet MS" w:hAnsi="Trebuchet MS"/>
      <w:color w:val="000000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KISTabla">
    <w:name w:val="KIS Tabla"/>
    <w:basedOn w:val="TableNormal"/>
    <w:uiPriority w:val="59"/>
    <w:qFormat/>
    <w:pPr>
      <w:spacing w:after="0" w:line="240" w:lineRule="auto"/>
      <w:jc w:val="left"/>
    </w:pPr>
    <w:rPr>
      <w:rFonts w:ascii="Trebuchet MS" w:hAnsi="Trebuchet MS" w:cs="Trebuchet MS"/>
      <w:color w:val="000000"/>
      <w:sz w:val="18"/>
      <w:szCs w:val="18"/>
    </w:rPr>
    <w:tblPr>
      <w:tblBorders>
        <w:top w:val="single" w:sz="6" w:space="0" w:color="ED7D31"/>
        <w:left w:val="single" w:sz="6" w:space="0" w:color="ED7D31"/>
        <w:bottom w:val="single" w:sz="6" w:space="0" w:color="ED7D31"/>
        <w:right w:val="single" w:sz="6" w:space="0" w:color="ED7D31"/>
        <w:insideH w:val="single" w:sz="6" w:space="0" w:color="ED7D31"/>
        <w:insideV w:val="single" w:sz="6" w:space="0" w:color="ED7D31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jc w:val="left"/>
      </w:pPr>
      <w:rPr>
        <w:b/>
        <w:bCs/>
        <w:color w:val="FFFFFF"/>
      </w:rPr>
      <w:tblPr/>
      <w:tcPr>
        <w:shd w:val="clear" w:color="auto" w:fill="ED7D31"/>
      </w:tcPr>
    </w:tblStylePr>
    <w:tblStylePr w:type="band2Horz">
      <w:tblPr/>
      <w:tcPr>
        <w:shd w:val="clear" w:color="auto" w:fill="FCE4D6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Theme1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aca1fee74e0c10ffa0294bf10c2808ed74c7a8cf.png"/></Relationships>
</file>

<file path=word/_rels/footer2.xml.rels><?xml version='1.0' encoding='UTF-8' standalone='yes'?>
<Relationships xmlns="http://schemas.openxmlformats.org/package/2006/relationships"><Relationship Id="rId0" Type="http://schemas.openxmlformats.org/officeDocument/2006/relationships/image" Target="media/aca1fee74e0c10ffa0294bf10c2808ed74c7a8cf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ee01e5788df32a1d615251e9c86448173a02c6d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3ee01e5788df32a1d615251e9c86448173a02c6d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595959"/>
      </a:dk2>
      <a:lt2>
        <a:srgbClr val="E7E6E6"/>
      </a:lt2>
      <a:accent1>
        <a:srgbClr val="FF99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rebuchet MS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Compromisos de cumplimiento en materia de datos personales</dc:title>
  <dc:creator>Keep IT Simple</dc:creator>
  <cp:lastModifiedBy>Un-named</cp:lastModifiedBy>
  <cp:revision>1</cp:revision>
  <dcterms:created xsi:type="dcterms:W3CDTF">2026-09-11T12:11:28.938Z</dcterms:created>
  <dcterms:modified xsi:type="dcterms:W3CDTF">2026-09-11T12:11:28.939Z</dcterms:modified>
  <dc:subject>Declaración de Keep IT Simple como encargado del tratamiento para el servicio Remedia en [CLIENTE]  ·  Versión 1.0  ·  Septiembre de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