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4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406"/>
      </w:tblGrid>
      <w:tr>
        <w:tc>
          <w:tcPr>
            <w:tcW w:type="dxa" w:w="9406"/>
            <w:shd w:fill="0D1613" w:color="auto" w:val="clear"/>
            <w:tcMar>
              <w:top w:type="dxa" w:w="260"/>
              <w:left w:type="dxa" w:w="340"/>
              <w:bottom w:type="dxa" w:w="260"/>
              <w:right w:type="dxa" w:w="340"/>
            </w:tcMar>
          </w:tcPr>
          <w:p>
            <w:pPr>
              <w:spacing w:after="16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46"/>
                <w:szCs w:val="46"/>
              </w:rPr>
              <w:t xml:space="preserve">Compromisos de cumplimiento en materia de datos personales</w:t>
            </w:r>
            <w:r>
              <w:rPr>
                <w:rFonts w:ascii="Segoe UI" w:cs="Segoe UI" w:eastAsia="Segoe UI" w:hAnsi="Segoe UI"/>
                <w:b/>
                <w:bCs/>
                <w:color w:val="31D6A0"/>
                <w:sz w:val="46"/>
                <w:szCs w:val="46"/>
              </w:rPr>
              <w:t xml:space="preserve">.</w:t>
            </w:r>
          </w:p>
          <w:tbl>
            <w:tblPr>
              <w:tblW w:type="dxa" w:w="5600"/>
              <w:tblBorders>
                <w:top w:val="single" w:color="1D6C52" w:sz="6"/>
                <w:left w:val="single" w:color="1D6C52" w:sz="6"/>
                <w:bottom w:val="single" w:color="1D6C52" w:sz="6"/>
                <w:right w:val="single" w:color="1D6C52" w:sz="6"/>
                <w:insideH w:val="none" w:color="FFFFFF" w:sz="0"/>
                <w:insideV w:val="none" w:color="FFFFFF" w:sz="0"/>
              </w:tblBorders>
            </w:tblPr>
            <w:tblGrid>
              <w:gridCol w:w="5600"/>
            </w:tblGrid>
            <w:tr>
              <w:tc>
                <w:tcPr>
                  <w:tcW w:type="dxa" w:w="5600"/>
                  <w:shd w:fill="0D1613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31D6A0"/>
                      <w:spacing w:val="20"/>
                      <w:sz w:val="14"/>
                      <w:szCs w:val="14"/>
                    </w:rPr>
                    <w:t xml:space="preserve">LEY 25.326 — DECLARACIÓN DEL ENCARGADO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Segoe UI" w:cs="Segoe UI" w:eastAsia="Segoe UI" w:hAnsi="Segoe UI"/>
                <w:color w:val="5C6663"/>
                <w:sz w:val="20"/>
                <w:szCs w:val="20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Segoe UI" w:cs="Segoe UI" w:eastAsia="Segoe UI" w:hAnsi="Segoe UI"/>
                <w:color w:val="EEEDE8"/>
                <w:sz w:val="20"/>
                <w:szCs w:val="20"/>
              </w:rPr>
              <w:t xml:space="preserve">Declaración de Keep IT Simple como encargado del tratamiento para el servicio Remedia en [CLIENTE]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/>
      </w:r>
    </w:p>
    <w:tbl>
      <w:tblPr>
        <w:tblW w:type="dxa" w:w="9404"/>
        <w:tblBorders>
          <w:top w:val="single" w:color="E3E2DC" w:sz="4"/>
          <w:left w:val="single" w:color="E3E2DC" w:sz="4"/>
          <w:bottom w:val="single" w:color="E3E2DC" w:sz="4"/>
          <w:right w:val="single" w:color="E3E2DC" w:sz="4"/>
          <w:insideH w:val="none" w:color="FFFFFF" w:sz="0"/>
          <w:insideV w:val="single" w:color="E3E2DC" w:sz="4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8D968F"/>
                <w:spacing w:val="20"/>
                <w:sz w:val="14"/>
                <w:szCs w:val="14"/>
              </w:rPr>
              <w:t xml:space="preserve">CLIENTE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9"/>
                <w:szCs w:val="19"/>
              </w:rPr>
              <w:t xml:space="preserve">[CLIENTE]</w:t>
            </w:r>
          </w:p>
        </w:tc>
        <w:tc>
          <w:tcPr>
            <w:tcW w:type="dxa" w:w="2351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8D968F"/>
                <w:spacing w:val="20"/>
                <w:sz w:val="14"/>
                <w:szCs w:val="14"/>
              </w:rPr>
              <w:t xml:space="preserve">ENCARGADO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9"/>
                <w:szCs w:val="19"/>
              </w:rPr>
              <w:t xml:space="preserve">Keep IT Simple</w:t>
            </w:r>
          </w:p>
        </w:tc>
        <w:tc>
          <w:tcPr>
            <w:tcW w:type="dxa" w:w="2351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8D968F"/>
                <w:spacing w:val="20"/>
                <w:sz w:val="14"/>
                <w:szCs w:val="14"/>
              </w:rPr>
              <w:t xml:space="preserve">VERSIÓN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9"/>
                <w:szCs w:val="19"/>
              </w:rPr>
              <w:t xml:space="preserve">1.0 — septiembre de 2026</w:t>
            </w:r>
          </w:p>
        </w:tc>
        <w:tc>
          <w:tcPr>
            <w:tcW w:type="dxa" w:w="2351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8D968F"/>
                <w:spacing w:val="20"/>
                <w:sz w:val="14"/>
                <w:szCs w:val="14"/>
              </w:rPr>
              <w:t xml:space="preserve">SERVICIO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9"/>
                <w:szCs w:val="19"/>
              </w:rPr>
              <w:t xml:space="preserve">Remedia — asistente conversacional de WhatsApp</w:t>
            </w:r>
          </w:p>
        </w:tc>
      </w:tr>
    </w:tbl>
    <w:p>
      <w:pPr>
        <w:spacing w:after="160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/>
      </w:r>
    </w:p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12A37C"/>
          <w:spacing w:val="30"/>
          <w:sz w:val="14"/>
          <w:szCs w:val="14"/>
        </w:rPr>
        <w:t xml:space="preserve">SECCIÓN 01</w:t>
      </w:r>
    </w:p>
    <w:p>
      <w:pPr>
        <w:pStyle w:val="Heading1"/>
        <w:keepNext/>
        <w:spacing w:after="160"/>
      </w:pPr>
      <w:r>
        <w:rPr>
          <w:rFonts w:ascii="Segoe UI" w:cs="Segoe UI" w:eastAsia="Segoe UI" w:hAnsi="Segoe UI"/>
          <w:b/>
          <w:bCs/>
          <w:color w:val="0D1613"/>
          <w:sz w:val="40"/>
          <w:szCs w:val="40"/>
        </w:rPr>
        <w:t xml:space="preserve">Declaración</w:t>
      </w:r>
    </w:p>
    <w:p>
      <w:pPr>
        <w:spacing w:after="140" w:line="288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>Keep IT Simple declara que el servicio Remedia, en su implementación para [CLIENTE], opera bajo los compromisos que se detallan en este documento. Cada compromiso es verificable: indica qué se cumple, cómo se cumple y qué evidencia se entrega al Cliente antes del inicio en producción.</w:t>
      </w:r>
    </w:p>
    <w:tbl>
      <w:tblPr>
        <w:tblW w:type="dxa" w:w="94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406"/>
      </w:tblGrid>
      <w:tr>
        <w:tc>
          <w:tcPr>
            <w:tcW w:type="dxa" w:w="9406"/>
            <w:shd w:fill="0D1613" w:color="auto" w:val="clear"/>
            <w:tcMar>
              <w:top w:type="dxa" w:w="260"/>
              <w:left w:type="dxa" w:w="340"/>
              <w:bottom w:type="dxa" w:w="260"/>
              <w:right w:type="dxa" w:w="34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color w:val="31D6A0"/>
                <w:spacing w:val="30"/>
                <w:sz w:val="14"/>
                <w:szCs w:val="14"/>
              </w:rPr>
              <w:t xml:space="preserve">EN UNA FRASE</w:t>
            </w:r>
          </w:p>
          <w:p>
            <w:pPr>
              <w:spacing w:after="80" w:line="288"/>
            </w:pPr>
            <w:r>
              <w:rPr>
                <w:rFonts w:ascii="Segoe UI" w:cs="Segoe UI" w:eastAsia="Segoe UI" w:hAnsi="Segoe UI"/>
                <w:color w:val="EEEDE8"/>
                <w:sz w:val="19"/>
                <w:szCs w:val="19"/>
              </w:rPr>
              <w:t xml:space="preserve">Los datos son del Cliente, se usan sólo para atender a sus clientes por WhatsApp, viven el tiempo mínimo necesario, los de salud los trata siempre una persona habilitada, y el titular puede informarse, darse de baja y ejercer sus derechos por el mismo canal.</w:t>
            </w:r>
          </w:p>
        </w:tc>
      </w:tr>
    </w:tbl>
    <w:p>
      <w:pPr>
        <w:spacing w:after="80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>Este documento resume los compromisos; el análisis normativo, el inventario de datos y los anexos contractuales están en el documento de adecuación completo. Ambos forman parte de la propuesta de implementación.</w:t>
      </w:r>
    </w:p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12A37C"/>
          <w:spacing w:val="30"/>
          <w:sz w:val="14"/>
          <w:szCs w:val="14"/>
        </w:rPr>
        <w:t xml:space="preserve">SECCIÓN 02</w:t>
      </w:r>
    </w:p>
    <w:p>
      <w:pPr>
        <w:pStyle w:val="Heading1"/>
        <w:keepNext/>
        <w:spacing w:after="160"/>
      </w:pPr>
      <w:r>
        <w:rPr>
          <w:rFonts w:ascii="Segoe UI" w:cs="Segoe UI" w:eastAsia="Segoe UI" w:hAnsi="Segoe UI"/>
          <w:b/>
          <w:bCs/>
          <w:color w:val="0D1613"/>
          <w:sz w:val="40"/>
          <w:szCs w:val="40"/>
        </w:rPr>
        <w:t xml:space="preserve">Qué cumplimos, artículo por artículo</w:t>
      </w:r>
    </w:p>
    <w:p>
      <w:pPr>
        <w:spacing w:after="140" w:line="288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>La tabla recorre las obligaciones de la Ley 25.326 y su reglamentación que alcanzan al servicio, y el compromiso concreto frente a cada una.</w:t>
      </w:r>
    </w:p>
    <w:tbl>
      <w:tblPr>
        <w:tblW w:type="dxa" w:w="9406"/>
        <w:tblBorders>
          <w:top w:val="single" w:color="E3E2DC" w:sz="4"/>
          <w:left w:val="single" w:color="E3E2DC" w:sz="4"/>
          <w:bottom w:val="single" w:color="E3E2DC" w:sz="4"/>
          <w:right w:val="single" w:color="E3E2DC" w:sz="4"/>
          <w:insideH w:val="single" w:color="E3E2DC" w:sz="4"/>
          <w:insideV w:val="none" w:color="FFFFFF" w:sz="0"/>
        </w:tblBorders>
      </w:tblPr>
      <w:tblGrid>
        <w:gridCol w:w="2605"/>
        <w:gridCol w:w="4273"/>
        <w:gridCol w:w="2528"/>
      </w:tblGrid>
      <w:tr>
        <w:trPr>
          <w:cantSplit/>
          <w:tblHeader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OBLIGACIÓN LEGAL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COMPROMISO DE KEEP IT SIMPLE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CÓMO SE VERIFICA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Art. 4 — Calidad y finalidad.</w:t>
            </w: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 Los datos deben ser ciertos, adecuados, pertinentes y no excesivos respecto de la finalidad, y destruirse cuando dejan de ser necesarios.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El asistente recolecta sólo lo indispensable para cada paso: teléfono, lo que el cliente escribe, y una dirección únicamente si eligió envío a domicilio. No pide DNI, correo ni fecha de nacimiento.</w:t>
            </w:r>
          </w:p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Cada dato tiene vencimiento: sesión 25 horas, imágenes 7 días, pedidos 7 días, historial según la política acordada con el Cliente.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Inventario de datos con retención por categoría; job de depuración activo; captura de la configuración.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Art. 5 — Consentimiento.</w:t>
            </w: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 El tratamiento requiere consentimiento libre, expreso e informado, salvo excepciones (relación contractual, datos de contacto básicos).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El titular inicia la conversación de forma voluntaria y recibe el aviso de privacidad antes de que se le pida ningún dato.</w:t>
            </w:r>
          </w:p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Para socios y clientes existentes se apoya además en la relación previa con el Cliente (art. 5 inc. 2).</w:t>
            </w:r>
          </w:p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Los mensajes proactivos (promociones, recordatorios) sólo se envían con opt-in registrado.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Texto del aviso configurado; prueba de flujo; registro de opt-in.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Art. 6 — Información.</w:t>
            </w: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 Al recolectar datos hay que informar finalidad, destinatarios, carácter obligatorio u optativo, consecuencias de no proveerlos, y derechos.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Aviso en el primer mensaje de cada conversación nueva con los cinco elementos del artículo, más la identificación del asistente como sistema automatizado y el enlace a la política de privacidad del Cliente.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Captura del primer mensaje; texto aprobado por el Cliente.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Art. 7 y 8 — Datos sensibles y de salud.</w:t>
            </w: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 Sólo pueden tratarse con consentimiento expreso o por establecimientos sanitarios y profesionales de la salud, bajo secreto profesional.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El asistente nunca interpreta ni resuelve una receta: la reconoce, la guarda de forma temporal y la deriva a un operador habilitado del Cliente.</w:t>
            </w:r>
          </w:p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El modelo de lenguaje no recibe DNI, domicilio, diagnóstico ni el paquete de datos de la receta.</w:t>
            </w:r>
          </w:p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La lectura automática de recetas está desactivada por defecto y sólo se habilita por decisión escrita del Cliente.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Prueba del circuito de receta; configuración de la función de lectura; registro de la decisión del Cliente.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Art. 9 — Seguridad.</w:t>
            </w: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 Medidas técnicas y organizativas para garantizar seguridad y confidencialidad, evitar adulteración, pérdida y acceso no autorizado.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Medidas alineadas con la Resolución AAIP 47/2018, detalladas en la sección 6 de este documento: cifrado en tránsito y en reposo, usuarios individuales con roles, auditoría, respaldos, gestión de vulnerabilidades e incidentes.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Matriz de controles con evidencia por control; informe de revisión de seguridad previo al go-live.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Art. 10 — Deber de confidencialidad.</w:t>
            </w: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 Quienes intervienen en el tratamiento están obligados al secreto profesional, aun después de finalizada la relación.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Todo el personal de Keep IT Simple con acceso a producción firma acuerdo de confidencialidad; el acceso es nominal, revocable y registrado. Los operadores del Cliente acceden con usuario propio.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Modelo de acuerdo firmado; listado de accesos vigentes.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Art. 11 — Cesión.</w:t>
            </w: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 Los datos sólo pueden cederse para fines relacionados con el interés legítimo del cedente y del cesionario, con consentimiento del titular.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Keep IT Simple no cede datos a nadie. Los terceros que intervienen son subencargados que prestan un servicio técnico bajo contrato, no cesionarios. La lista es cerrada y la aprueba el Cliente.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Matriz de subencargados aprobada; cláusula de no cesión en el contrato.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Art. 12 — Transferencia internacional.</w:t>
            </w: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 Prohibida hacia países sin nivel adecuado de protección, salvo consentimiento o cláusulas contractuales.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Los subencargados radicados en Estados Unidos (mensajería, inteligencia artificial, nube) operan bajo los contratos modelo de la Disposición 60-E/2016 y sus términos de API prohíben el uso de los datos para entrenamiento. El aviso de privacidad informa la transferencia.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Cláusulas incorporadas; términos de cada proveedor archivados.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Art. 14 — Derecho de acceso.</w:t>
            </w: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 El titular puede pedir sus datos y obtenerlos dentro de los 10 días corridos.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El Cliente exporta desde el panel el historial y los pedidos de un número. Keep IT Simple responde cualquier pedido interno del Cliente en 48 horas hábiles.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Prueba de exportación; procedimiento escrito.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Art. 16 — Rectificación, actualización y supresión.</w:t>
            </w: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 Dentro de los 5 días hábiles de la solicitud.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Acción "Suprimir titular" en el panel: borra sesión, pedidos, imágenes e historial, conserva sólo lo exigido por ley y una marca de exclusión para no volver a contactarlo. Rectificación de padrón desde la fuente del Cliente.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Prueba de supresión con datos sintéticos; registro de auditoría de la acción.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Art. 21 — Registro de bases de datos.</w:t>
            </w: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 El responsable debe inscribir sus bases ante la AAIP.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Keep IT Simple entrega en la primera semana la descripción técnica completa (finalidad, categorías, ubicación, medidas, transferencias) para que el Cliente incorpore el canal a su inscripción.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Descripción técnica entregada.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Art. 25 — Prestación de servicios de tratamiento.</w:t>
            </w: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 El encargado no puede aplicar los datos a otro fin ni cederlos; el contrato regula el tratamiento; los datos se destruyen al terminar.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Contrato de encargo con las cláusulas mínimas (objeto e instrucciones, confidencialidad, seguridad, subencargados, transferencias, asistencia, incidentes, devolución y destrucción, auditoría). Al fin del contrato: devolución en formato estructurado o destrucción certificada en 30 días.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Contrato firmado; certificado de destrucción al cierre.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Art. 27 — Archivos con fines publicitarios.</w:t>
            </w: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 El titular puede pedir en cualquier momento el retiro o bloqueo de su nombre.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Palabra BAJA en el chat: confirmación inmediata, exclusión de todo mensaje proactivo y marca que sobrevive a la depuración del resto de los datos.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Prueba de baja; registro de exclusiones.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Res. AAIP 47/2018 — Medidas de seguridad recomendadas.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Adoptadas en los nueve dominios de la resolución (ver sección 6).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Matriz de controles.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Res. AAIP 4/2019 — Decisiones automatizadas y transparencia.</w:t>
            </w:r>
          </w:p>
        </w:tc>
        <w:tc>
          <w:tcPr>
            <w:tcW w:type="dxa" w:w="427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El asistente se identifica como sistema automatizado y toda decisión con efecto para el titular (validación de receta, reclamo, reintegro) la toma una persona del Cliente.</w:t>
            </w:r>
          </w:p>
        </w:tc>
        <w:tc>
          <w:tcPr>
            <w:tcW w:type="dxa" w:w="2528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Aviso inicial; circuito de derivación.</w:t>
            </w:r>
          </w:p>
        </w:tc>
      </w:tr>
    </w:tbl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12A37C"/>
          <w:spacing w:val="30"/>
          <w:sz w:val="14"/>
          <w:szCs w:val="14"/>
        </w:rPr>
        <w:t xml:space="preserve">SECCIÓN 03</w:t>
      </w:r>
    </w:p>
    <w:p>
      <w:pPr>
        <w:pStyle w:val="Heading1"/>
        <w:keepNext/>
        <w:spacing w:after="160"/>
      </w:pPr>
      <w:r>
        <w:rPr>
          <w:rFonts w:ascii="Segoe UI" w:cs="Segoe UI" w:eastAsia="Segoe UI" w:hAnsi="Segoe UI"/>
          <w:b/>
          <w:bCs/>
          <w:color w:val="0D1613"/>
          <w:sz w:val="40"/>
          <w:szCs w:val="40"/>
        </w:rPr>
        <w:t xml:space="preserve">Qué datos tratamos y por cuánto tiempo</w:t>
      </w:r>
    </w:p>
    <w:tbl>
      <w:tblPr>
        <w:tblW w:type="dxa" w:w="9405"/>
        <w:tblBorders>
          <w:top w:val="single" w:color="E3E2DC" w:sz="4"/>
          <w:left w:val="single" w:color="E3E2DC" w:sz="4"/>
          <w:bottom w:val="single" w:color="E3E2DC" w:sz="4"/>
          <w:right w:val="single" w:color="E3E2DC" w:sz="4"/>
          <w:insideH w:val="single" w:color="E3E2DC" w:sz="4"/>
          <w:insideV w:val="none" w:color="FFFFFF" w:sz="0"/>
        </w:tblBorders>
      </w:tblPr>
      <w:tblGrid>
        <w:gridCol w:w="3126"/>
        <w:gridCol w:w="3126"/>
        <w:gridCol w:w="3153"/>
      </w:tblGrid>
      <w:tr>
        <w:trPr>
          <w:cantSplit/>
          <w:tblHeader/>
        </w:trPr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DATO</w:t>
            </w:r>
          </w:p>
        </w:tc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PARA QUÉ</w:t>
            </w:r>
          </w:p>
        </w:tc>
        <w:tc>
          <w:tcPr>
            <w:tcW w:type="dxa" w:w="315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HASTA CUÁNDO</w:t>
            </w:r>
          </w:p>
        </w:tc>
      </w:tr>
      <w:tr>
        <w:trPr>
          <w:cantSplit/>
        </w:trPr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Teléfono de WhatsApp</w:t>
            </w:r>
          </w:p>
        </w:tc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Identificar la conversación y avisar pedidos</w:t>
            </w:r>
          </w:p>
        </w:tc>
        <w:tc>
          <w:tcPr>
            <w:tcW w:type="dxa" w:w="315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Sesión 25 h; pedidos 7 días; historial según política del Cliente (sugerido 12 meses)</w:t>
            </w:r>
          </w:p>
        </w:tc>
      </w:tr>
      <w:tr>
        <w:trPr>
          <w:cantSplit/>
        </w:trPr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Contenido de la conversación</w:t>
            </w:r>
          </w:p>
        </w:tc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Atender, cotizar, dar trazabilidad al operador</w:t>
            </w:r>
          </w:p>
        </w:tc>
        <w:tc>
          <w:tcPr>
            <w:tcW w:type="dxa" w:w="315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Ídem historial</w:t>
            </w:r>
          </w:p>
        </w:tc>
      </w:tr>
      <w:tr>
        <w:trPr>
          <w:cantSplit/>
        </w:trPr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Nombre y número de socio (del padrón del Cliente)</w:t>
            </w:r>
          </w:p>
        </w:tc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Descuento de socio y saludo por nombre</w:t>
            </w:r>
          </w:p>
        </w:tc>
        <w:tc>
          <w:tcPr>
            <w:tcW w:type="dxa" w:w="315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Mientras el Cliente mantenga el padrón</w:t>
            </w:r>
          </w:p>
        </w:tc>
      </w:tr>
      <w:tr>
        <w:trPr>
          <w:cantSplit/>
        </w:trPr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Dirección de envío</w:t>
            </w:r>
          </w:p>
        </w:tc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Entregar a domicilio</w:t>
            </w:r>
          </w:p>
        </w:tc>
        <w:tc>
          <w:tcPr>
            <w:tcW w:type="dxa" w:w="315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7 días; luego se enmascara</w:t>
            </w:r>
          </w:p>
        </w:tc>
      </w:tr>
      <w:tr>
        <w:trPr>
          <w:cantSplit/>
        </w:trPr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Imagen de receta o credencial (dato de salud)</w:t>
            </w:r>
          </w:p>
        </w:tc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Que un operador habilitado la cotice</w:t>
            </w:r>
          </w:p>
        </w:tc>
        <w:tc>
          <w:tcPr>
            <w:tcW w:type="dxa" w:w="315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7 días, borrado automático</w:t>
            </w:r>
          </w:p>
        </w:tc>
      </w:tr>
      <w:tr>
        <w:trPr>
          <w:cantSplit/>
        </w:trPr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Datos de pago</w:t>
            </w:r>
          </w:p>
        </w:tc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Confirmar el cobro</w:t>
            </w:r>
          </w:p>
        </w:tc>
        <w:tc>
          <w:tcPr>
            <w:tcW w:type="dxa" w:w="315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Sólo identificador de pago, marca y primeros 6 dígitos. Nunca el número completo</w:t>
            </w:r>
          </w:p>
        </w:tc>
      </w:tr>
      <w:tr>
        <w:trPr>
          <w:cantSplit/>
        </w:trPr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Acciones de operadores</w:t>
            </w:r>
          </w:p>
        </w:tc>
        <w:tc>
          <w:tcPr>
            <w:tcW w:type="dxa" w:w="312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Auditoría</w:t>
            </w:r>
          </w:p>
        </w:tc>
        <w:tc>
          <w:tcPr>
            <w:tcW w:type="dxa" w:w="315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24 meses</w:t>
            </w:r>
          </w:p>
        </w:tc>
      </w:tr>
    </w:tbl>
    <w:p>
      <w:pPr>
        <w:spacing w:after="80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Segoe UI" w:cs="Segoe UI" w:eastAsia="Segoe UI" w:hAnsi="Segoe UI"/>
          <w:b/>
          <w:bCs/>
          <w:color w:val="0D1613"/>
          <w:sz w:val="20"/>
          <w:szCs w:val="20"/>
        </w:rPr>
        <w:t xml:space="preserve">Lo que no tratamos:</w:t>
      </w:r>
      <w:r>
        <w:rPr>
          <w:rFonts w:ascii="Segoe UI" w:cs="Segoe UI" w:eastAsia="Segoe UI" w:hAnsi="Segoe UI"/>
          <w:color w:val="5C6663"/>
          <w:sz w:val="20"/>
          <w:szCs w:val="20"/>
        </w:rPr>
        <w:t xml:space="preserve"> no pedimos DNI, correo ni fecha de nacimiento; no leemos el DNI ni el domicilio del padrón para conversar; no conservamos audios; no guardamos datos de tarjeta; no usamos los datos para ningún fin propio ni los cruzamos con otros clientes.</w:t>
      </w:r>
    </w:p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12A37C"/>
          <w:spacing w:val="30"/>
          <w:sz w:val="14"/>
          <w:szCs w:val="14"/>
        </w:rPr>
        <w:t xml:space="preserve">SECCIÓN 04</w:t>
      </w:r>
    </w:p>
    <w:p>
      <w:pPr>
        <w:pStyle w:val="Heading1"/>
        <w:keepNext/>
        <w:spacing w:after="160"/>
      </w:pPr>
      <w:r>
        <w:rPr>
          <w:rFonts w:ascii="Segoe UI" w:cs="Segoe UI" w:eastAsia="Segoe UI" w:hAnsi="Segoe UI"/>
          <w:b/>
          <w:bCs/>
          <w:color w:val="0D1613"/>
          <w:sz w:val="40"/>
          <w:szCs w:val="40"/>
        </w:rPr>
        <w:t xml:space="preserve">Datos de salud: el compromiso específico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>Una foto de receta o credencial se reconoce automáticamente y se guarda en un espacio temporal, accesible sólo con usuario autenticado del Cliente.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>La conversación se deriva de inmediato a un operador. El asistente informa al cliente que una persona continuará y deja de responder de forma automática.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>El operador cotiza y valida desde el panel. Ninguna decisión sobre la receta la toma el asistente.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>A los 7 días la imagen se elimina. En el historial queda sólo la constancia de que hubo una derivación por receta.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>Si el Cliente no es un establecimiento sanitario (por ejemplo, una mutual), el asistente no procesa recetas: deriva sin almacenar.</w:t>
      </w:r>
    </w:p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12A37C"/>
          <w:spacing w:val="30"/>
          <w:sz w:val="14"/>
          <w:szCs w:val="14"/>
        </w:rPr>
        <w:t xml:space="preserve">SECCIÓN 05</w:t>
      </w:r>
    </w:p>
    <w:p>
      <w:pPr>
        <w:pStyle w:val="Heading1"/>
        <w:keepNext/>
        <w:spacing w:after="160"/>
      </w:pPr>
      <w:r>
        <w:rPr>
          <w:rFonts w:ascii="Segoe UI" w:cs="Segoe UI" w:eastAsia="Segoe UI" w:hAnsi="Segoe UI"/>
          <w:b/>
          <w:bCs/>
          <w:color w:val="0D1613"/>
          <w:sz w:val="40"/>
          <w:szCs w:val="40"/>
        </w:rPr>
        <w:t xml:space="preserve">Derechos del titular: cómo se ejercen</w:t>
      </w:r>
    </w:p>
    <w:tbl>
      <w:tblPr>
        <w:tblW w:type="dxa" w:w="9406"/>
        <w:tblBorders>
          <w:top w:val="single" w:color="E3E2DC" w:sz="4"/>
          <w:left w:val="single" w:color="E3E2DC" w:sz="4"/>
          <w:bottom w:val="single" w:color="E3E2DC" w:sz="4"/>
          <w:right w:val="single" w:color="E3E2DC" w:sz="4"/>
          <w:insideH w:val="single" w:color="E3E2DC" w:sz="4"/>
          <w:insideV w:val="none" w:color="FFFFFF" w:sz="0"/>
        </w:tblBorders>
      </w:tblPr>
      <w:tblGrid>
        <w:gridCol w:w="2501"/>
        <w:gridCol w:w="4794"/>
        <w:gridCol w:w="2111"/>
      </w:tblGrid>
      <w:tr>
        <w:trPr>
          <w:cantSplit/>
          <w:tblHeader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DERECHO</w:t>
            </w:r>
          </w:p>
        </w:tc>
        <w:tc>
          <w:tcPr>
            <w:tcW w:type="dxa" w:w="4794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CÓMO</w:t>
            </w:r>
          </w:p>
        </w:tc>
        <w:tc>
          <w:tcPr>
            <w:tcW w:type="dxa" w:w="211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PLAZO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Información</w:t>
            </w:r>
          </w:p>
        </w:tc>
        <w:tc>
          <w:tcPr>
            <w:tcW w:type="dxa" w:w="4794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Aviso en el primer mensaje</w:t>
            </w:r>
          </w:p>
        </w:tc>
        <w:tc>
          <w:tcPr>
            <w:tcW w:type="dxa" w:w="211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Inmediato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Baja de comunicaciones</w:t>
            </w:r>
          </w:p>
        </w:tc>
        <w:tc>
          <w:tcPr>
            <w:tcW w:type="dxa" w:w="4794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Escribir BAJA en el chat</w:t>
            </w:r>
          </w:p>
        </w:tc>
        <w:tc>
          <w:tcPr>
            <w:tcW w:type="dxa" w:w="211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Inmediato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Acceso</w:t>
            </w:r>
          </w:p>
        </w:tc>
        <w:tc>
          <w:tcPr>
            <w:tcW w:type="dxa" w:w="4794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Pedido al Cliente por WhatsApp, correo o el canal designado; exportación desde el panel</w:t>
            </w:r>
          </w:p>
        </w:tc>
        <w:tc>
          <w:tcPr>
            <w:tcW w:type="dxa" w:w="211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10 días corridos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Rectificación / actualización</w:t>
            </w:r>
          </w:p>
        </w:tc>
        <w:tc>
          <w:tcPr>
            <w:tcW w:type="dxa" w:w="4794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Pedido al Cliente; corrección en padrón o pedido</w:t>
            </w:r>
          </w:p>
        </w:tc>
        <w:tc>
          <w:tcPr>
            <w:tcW w:type="dxa" w:w="211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5 días hábiles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Supresión</w:t>
            </w:r>
          </w:p>
        </w:tc>
        <w:tc>
          <w:tcPr>
            <w:tcW w:type="dxa" w:w="4794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Pedido al Cliente; acción de supresión en el panel con auditoría</w:t>
            </w:r>
          </w:p>
        </w:tc>
        <w:tc>
          <w:tcPr>
            <w:tcW w:type="dxa" w:w="211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5 días hábiles</w:t>
            </w:r>
          </w:p>
        </w:tc>
      </w:tr>
    </w:tbl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12A37C"/>
          <w:spacing w:val="30"/>
          <w:sz w:val="14"/>
          <w:szCs w:val="14"/>
        </w:rPr>
        <w:t xml:space="preserve">SECCIÓN 06</w:t>
      </w:r>
    </w:p>
    <w:p>
      <w:pPr>
        <w:pStyle w:val="Heading1"/>
        <w:keepNext/>
        <w:spacing w:after="160"/>
      </w:pPr>
      <w:r>
        <w:rPr>
          <w:rFonts w:ascii="Segoe UI" w:cs="Segoe UI" w:eastAsia="Segoe UI" w:hAnsi="Segoe UI"/>
          <w:b/>
          <w:bCs/>
          <w:color w:val="0D1613"/>
          <w:sz w:val="40"/>
          <w:szCs w:val="40"/>
        </w:rPr>
        <w:t xml:space="preserve">Medidas de seguridad comprometidas</w:t>
      </w:r>
    </w:p>
    <w:tbl>
      <w:tblPr>
        <w:tblW w:type="dxa" w:w="9406"/>
        <w:tblBorders>
          <w:top w:val="single" w:color="E3E2DC" w:sz="4"/>
          <w:left w:val="single" w:color="E3E2DC" w:sz="4"/>
          <w:bottom w:val="single" w:color="E3E2DC" w:sz="4"/>
          <w:right w:val="single" w:color="E3E2DC" w:sz="4"/>
          <w:insideH w:val="single" w:color="E3E2DC" w:sz="4"/>
          <w:insideV w:val="none" w:color="FFFFFF" w:sz="0"/>
        </w:tblBorders>
      </w:tblPr>
      <w:tblGrid>
        <w:gridCol w:w="2501"/>
        <w:gridCol w:w="6905"/>
      </w:tblGrid>
      <w:tr>
        <w:trPr>
          <w:cantSplit/>
          <w:tblHeader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DOMINIO</w:t>
            </w:r>
          </w:p>
        </w:tc>
        <w:tc>
          <w:tcPr>
            <w:tcW w:type="dxa" w:w="69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COMPROMISO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Cifrado</w:t>
            </w:r>
          </w:p>
        </w:tc>
        <w:tc>
          <w:tcPr>
            <w:tcW w:type="dxa" w:w="69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TLS 1.2+ en toda comunicación. Discos cifrados por el proveedor de nube; imágenes de recetas y padrón cifrados además a nivel de aplicación con clave rotable.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Control de acceso</w:t>
            </w:r>
          </w:p>
        </w:tc>
        <w:tc>
          <w:tcPr>
            <w:tcW w:type="dxa" w:w="69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Usuarios individuales con contraseña y roles (administrador, dueño, operador). Sin claves compartidas. Sesiones con expiración. Baja inmediata al desvincular a un operador.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Auditoría</w:t>
            </w:r>
          </w:p>
        </w:tc>
        <w:tc>
          <w:tcPr>
            <w:tcW w:type="dxa" w:w="69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Registro de quién vio, tomó, cotizó, preparó, entregó, exportó o suprimió, con fecha y hora. Retención 24 meses.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Registros técnicos</w:t>
            </w:r>
          </w:p>
        </w:tc>
        <w:tc>
          <w:tcPr>
            <w:tcW w:type="dxa" w:w="69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Sin contenido de mensajes ni teléfonos completos (se conservan los últimos 4 dígitos).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Respaldo</w:t>
            </w:r>
          </w:p>
        </w:tc>
        <w:tc>
          <w:tcPr>
            <w:tcW w:type="dxa" w:w="69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Copias diarias cifradas, retención 30 días, restauración probada trimestralmente.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Vulnerabilidades y cambios</w:t>
            </w:r>
          </w:p>
        </w:tc>
        <w:tc>
          <w:tcPr>
            <w:tcW w:type="dxa" w:w="69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Dependencias monitoreadas; parches críticos en 7 días; todo cambio pasa por control de versiones y pruebas; revisión de seguridad previa al go-live y anual.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Incidentes</w:t>
            </w:r>
          </w:p>
        </w:tc>
        <w:tc>
          <w:tcPr>
            <w:tcW w:type="dxa" w:w="69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Procedimiento documentado; notificación al Cliente dentro de las 72 horas de detectado, con naturaleza, alcance y medidas; simulacro antes del go-live.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Entornos</w:t>
            </w:r>
          </w:p>
        </w:tc>
        <w:tc>
          <w:tcPr>
            <w:tcW w:type="dxa" w:w="69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Desarrollo y pruebas separados de producción, sin datos reales de titulares.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Aislamiento</w:t>
            </w:r>
          </w:p>
        </w:tc>
        <w:tc>
          <w:tcPr>
            <w:tcW w:type="dxa" w:w="69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Cada Cliente en un despliegue propio con base de datos, caché y credenciales separadas.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Personal</w:t>
            </w:r>
          </w:p>
        </w:tc>
        <w:tc>
          <w:tcPr>
            <w:tcW w:type="dxa" w:w="6905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Acuerdos de confidencialidad, acceso nominal y revocable, capacitación anual.</w:t>
            </w:r>
          </w:p>
        </w:tc>
      </w:tr>
    </w:tbl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12A37C"/>
          <w:spacing w:val="30"/>
          <w:sz w:val="14"/>
          <w:szCs w:val="14"/>
        </w:rPr>
        <w:t xml:space="preserve">SECCIÓN 07</w:t>
      </w:r>
    </w:p>
    <w:p>
      <w:pPr>
        <w:pStyle w:val="Heading1"/>
        <w:keepNext/>
        <w:spacing w:after="160"/>
      </w:pPr>
      <w:r>
        <w:rPr>
          <w:rFonts w:ascii="Segoe UI" w:cs="Segoe UI" w:eastAsia="Segoe UI" w:hAnsi="Segoe UI"/>
          <w:b/>
          <w:bCs/>
          <w:color w:val="0D1613"/>
          <w:sz w:val="40"/>
          <w:szCs w:val="40"/>
        </w:rPr>
        <w:t xml:space="preserve">Terceros que intervienen</w:t>
      </w:r>
    </w:p>
    <w:p>
      <w:pPr>
        <w:spacing w:after="140" w:line="288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>Lista cerrada. Cualquier cambio se notifica al Cliente con 30 días de antelación y derecho de objeción.</w:t>
      </w:r>
    </w:p>
    <w:tbl>
      <w:tblPr>
        <w:tblW w:type="dxa" w:w="9407"/>
        <w:tblBorders>
          <w:top w:val="single" w:color="E3E2DC" w:sz="4"/>
          <w:left w:val="single" w:color="E3E2DC" w:sz="4"/>
          <w:bottom w:val="single" w:color="E3E2DC" w:sz="4"/>
          <w:right w:val="single" w:color="E3E2DC" w:sz="4"/>
          <w:insideH w:val="single" w:color="E3E2DC" w:sz="4"/>
          <w:insideV w:val="none" w:color="FFFFFF" w:sz="0"/>
        </w:tblBorders>
      </w:tblPr>
      <w:tblGrid>
        <w:gridCol w:w="2293"/>
        <w:gridCol w:w="2397"/>
        <w:gridCol w:w="3231"/>
        <w:gridCol w:w="1486"/>
      </w:tblGrid>
      <w:tr>
        <w:trPr>
          <w:cantSplit/>
          <w:tblHeader/>
        </w:trPr>
        <w:tc>
          <w:tcPr>
            <w:tcW w:type="dxa" w:w="229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TERCERO</w:t>
            </w:r>
          </w:p>
        </w:tc>
        <w:tc>
          <w:tcPr>
            <w:tcW w:type="dxa" w:w="2397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PARA QUÉ</w:t>
            </w:r>
          </w:p>
        </w:tc>
        <w:tc>
          <w:tcPr>
            <w:tcW w:type="dxa" w:w="323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QUÉ RECIBE</w:t>
            </w:r>
          </w:p>
        </w:tc>
        <w:tc>
          <w:tcPr>
            <w:tcW w:type="dxa" w:w="148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PAÍS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Meta (WhatsApp Business Platform)</w:t>
            </w:r>
          </w:p>
        </w:tc>
        <w:tc>
          <w:tcPr>
            <w:tcW w:type="dxa" w:w="2397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Canal de mensajería</w:t>
            </w:r>
          </w:p>
        </w:tc>
        <w:tc>
          <w:tcPr>
            <w:tcW w:type="dxa" w:w="323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Teléfono, mensajes y archivos</w:t>
            </w:r>
          </w:p>
        </w:tc>
        <w:tc>
          <w:tcPr>
            <w:tcW w:type="dxa" w:w="148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Anthropic / OpenAI</w:t>
            </w:r>
          </w:p>
        </w:tc>
        <w:tc>
          <w:tcPr>
            <w:tcW w:type="dxa" w:w="2397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Interpretar mensajes y redactar respuestas; clasificar imágenes</w:t>
            </w:r>
          </w:p>
        </w:tc>
        <w:tc>
          <w:tcPr>
            <w:tcW w:type="dxa" w:w="323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Últimos turnos de la conversación, nombre y número de socio. Imágenes sólo si el Cliente habilita la lectura de recetas</w:t>
            </w:r>
          </w:p>
        </w:tc>
        <w:tc>
          <w:tcPr>
            <w:tcW w:type="dxa" w:w="148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Groq</w:t>
            </w:r>
          </w:p>
        </w:tc>
        <w:tc>
          <w:tcPr>
            <w:tcW w:type="dxa" w:w="2397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Transcribir audios</w:t>
            </w:r>
          </w:p>
        </w:tc>
        <w:tc>
          <w:tcPr>
            <w:tcW w:type="dxa" w:w="323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El audio, sin conservarlo</w:t>
            </w:r>
          </w:p>
        </w:tc>
        <w:tc>
          <w:tcPr>
            <w:tcW w:type="dxa" w:w="148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Mercado Pago / Payway</w:t>
            </w:r>
          </w:p>
        </w:tc>
        <w:tc>
          <w:tcPr>
            <w:tcW w:type="dxa" w:w="2397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Cobrar</w:t>
            </w:r>
          </w:p>
        </w:tc>
        <w:tc>
          <w:tcPr>
            <w:tcW w:type="dxa" w:w="323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Ítem, monto, token de tarjeta generado en el navegador</w:t>
            </w:r>
          </w:p>
        </w:tc>
        <w:tc>
          <w:tcPr>
            <w:tcW w:type="dxa" w:w="148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Argentina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Proveedor de nube</w:t>
            </w:r>
          </w:p>
        </w:tc>
        <w:tc>
          <w:tcPr>
            <w:tcW w:type="dxa" w:w="2397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Alojar el servicio</w:t>
            </w:r>
          </w:p>
        </w:tc>
        <w:tc>
          <w:tcPr>
            <w:tcW w:type="dxa" w:w="3231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Todos los datos, cifrados en reposo</w:t>
            </w:r>
          </w:p>
        </w:tc>
        <w:tc>
          <w:tcPr>
            <w:tcW w:type="dxa" w:w="148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EE. UU. o región acordada</w:t>
            </w:r>
          </w:p>
        </w:tc>
      </w:tr>
    </w:tbl>
    <w:p>
      <w:pPr>
        <w:spacing w:after="80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>Con todos ellos: contrato o términos que prohíben usar los datos para fines propios o entrenamiento de modelos, y cláusulas de transferencia internacional según la Disposición 60-E/2016.</w:t>
      </w:r>
    </w:p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12A37C"/>
          <w:spacing w:val="30"/>
          <w:sz w:val="14"/>
          <w:szCs w:val="14"/>
        </w:rPr>
        <w:t xml:space="preserve">SECCIÓN 08</w:t>
      </w:r>
    </w:p>
    <w:p>
      <w:pPr>
        <w:pStyle w:val="Heading1"/>
        <w:keepNext/>
        <w:spacing w:after="160"/>
      </w:pPr>
      <w:r>
        <w:rPr>
          <w:rFonts w:ascii="Segoe UI" w:cs="Segoe UI" w:eastAsia="Segoe UI" w:hAnsi="Segoe UI"/>
          <w:b/>
          <w:bCs/>
          <w:color w:val="0D1613"/>
          <w:sz w:val="40"/>
          <w:szCs w:val="40"/>
        </w:rPr>
        <w:t xml:space="preserve">Cuándo se cumple cada cosa</w:t>
      </w:r>
    </w:p>
    <w:p>
      <w:pPr>
        <w:spacing w:after="140" w:line="288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>Los compromisos se completan durante la implementación y se verifican en el acta de aceptación. Ninguno queda para después del inicio en producción.</w:t>
      </w:r>
    </w:p>
    <w:tbl>
      <w:tblPr>
        <w:tblW w:type="dxa" w:w="9406"/>
        <w:tblBorders>
          <w:top w:val="single" w:color="E3E2DC" w:sz="4"/>
          <w:left w:val="single" w:color="E3E2DC" w:sz="4"/>
          <w:bottom w:val="single" w:color="E3E2DC" w:sz="4"/>
          <w:right w:val="single" w:color="E3E2DC" w:sz="4"/>
          <w:insideH w:val="single" w:color="E3E2DC" w:sz="4"/>
          <w:insideV w:val="none" w:color="FFFFFF" w:sz="0"/>
        </w:tblBorders>
      </w:tblPr>
      <w:tblGrid>
        <w:gridCol w:w="1876"/>
        <w:gridCol w:w="7530"/>
      </w:tblGrid>
      <w:tr>
        <w:trPr>
          <w:cantSplit/>
          <w:tblHeader/>
        </w:trPr>
        <w:tc>
          <w:tcPr>
            <w:tcW w:type="dxa" w:w="187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MOMENTO</w:t>
            </w:r>
          </w:p>
        </w:tc>
        <w:tc>
          <w:tcPr>
            <w:tcW w:type="dxa" w:w="7530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COMPROMISOS QUE QUEDAN CUMPLIDOS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Semana 1</w:t>
            </w:r>
          </w:p>
        </w:tc>
        <w:tc>
          <w:tcPr>
            <w:tcW w:type="dxa" w:w="7530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Contrato de encargo firmado; lista de subencargados aprobada; política de retención definida; descripción técnica para la inscripción ante la AAIP entregada; acuerdos de confidencialidad.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Semana 2</w:t>
            </w:r>
          </w:p>
        </w:tc>
        <w:tc>
          <w:tcPr>
            <w:tcW w:type="dxa" w:w="7530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Aviso de privacidad y palabra BAJA operativos; usuarios y roles del panel; registro de auditoría.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Semana 3</w:t>
            </w:r>
          </w:p>
        </w:tc>
        <w:tc>
          <w:tcPr>
            <w:tcW w:type="dxa" w:w="7530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Cifrado en reposo de imágenes y padrón; depuración automática del historial; acción de supresión y exportación por titular; revisión de seguridad.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Semana 4</w:t>
            </w:r>
          </w:p>
        </w:tc>
        <w:tc>
          <w:tcPr>
            <w:tcW w:type="dxa" w:w="7530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Pruebas de ejercicio de derechos con datos sintéticos; simulacro de incidente; capacitación de operadores.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Go-live</w:t>
            </w:r>
          </w:p>
        </w:tc>
        <w:tc>
          <w:tcPr>
            <w:tcW w:type="dxa" w:w="7530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Acta de aceptación con el checklist de 20 controles firmado por ambas partes.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EEED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b/>
                <w:bCs/>
                <w:color w:val="0D1613"/>
                <w:sz w:val="17"/>
                <w:szCs w:val="17"/>
              </w:rPr>
              <w:t xml:space="preserve">Continuo</w:t>
            </w:r>
          </w:p>
        </w:tc>
        <w:tc>
          <w:tcPr>
            <w:tcW w:type="dxa" w:w="7530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Revisión anual de medidas y subencargados; restauración trimestral; notificación de incidentes en 72 h; asistencia al Cliente en 48 h hábiles.</w:t>
            </w:r>
          </w:p>
        </w:tc>
      </w:tr>
    </w:tbl>
    <w:p>
      <w:r>
        <w:br w:type="page"/>
      </w:r>
    </w:p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12A37C"/>
          <w:spacing w:val="30"/>
          <w:sz w:val="14"/>
          <w:szCs w:val="14"/>
        </w:rPr>
        <w:t xml:space="preserve">SECCIÓN 09</w:t>
      </w:r>
    </w:p>
    <w:p>
      <w:pPr>
        <w:pStyle w:val="Heading1"/>
        <w:keepNext/>
        <w:spacing w:after="160"/>
      </w:pPr>
      <w:r>
        <w:rPr>
          <w:rFonts w:ascii="Segoe UI" w:cs="Segoe UI" w:eastAsia="Segoe UI" w:hAnsi="Segoe UI"/>
          <w:b/>
          <w:bCs/>
          <w:color w:val="0D1613"/>
          <w:sz w:val="40"/>
          <w:szCs w:val="40"/>
        </w:rPr>
        <w:t xml:space="preserve">Firmas</w:t>
      </w:r>
    </w:p>
    <w:p>
      <w:pPr>
        <w:spacing w:after="140" w:line="288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>Las partes suscriben la presente declaración como parte integrante de la propuesta de implementación de Remedia. Los compromisos aquí enunciados se incorporan al contrato de servicio y al contrato de encargo de tratamiento.</w:t>
      </w:r>
    </w:p>
    <w:p>
      <w:pPr>
        <w:spacing w:after="80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/>
      </w:r>
    </w:p>
    <w:p>
      <w:pPr>
        <w:spacing w:after="80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/>
      </w:r>
    </w:p>
    <w:p>
      <w:pPr>
        <w:spacing w:after="80"/>
      </w:pPr>
      <w:r>
        <w:rPr>
          <w:rFonts w:ascii="Segoe UI" w:cs="Segoe UI" w:eastAsia="Segoe UI" w:hAnsi="Segoe UI"/>
          <w:color w:val="5C6663"/>
          <w:sz w:val="20"/>
          <w:szCs w:val="20"/>
        </w:rPr>
        <w:t xml:space="preserve"/>
      </w:r>
    </w:p>
    <w:tbl>
      <w:tblPr>
        <w:tblW w:type="dxa" w:w="9406"/>
        <w:tblBorders>
          <w:top w:val="single" w:color="E3E2DC" w:sz="4"/>
          <w:left w:val="single" w:color="E3E2DC" w:sz="4"/>
          <w:bottom w:val="single" w:color="E3E2DC" w:sz="4"/>
          <w:right w:val="single" w:color="E3E2DC" w:sz="4"/>
          <w:insideH w:val="single" w:color="E3E2DC" w:sz="4"/>
          <w:insideV w:val="none" w:color="FFFFFF" w:sz="0"/>
        </w:tblBorders>
      </w:tblPr>
      <w:tblGrid>
        <w:gridCol w:w="4703"/>
        <w:gridCol w:w="4703"/>
      </w:tblGrid>
      <w:tr>
        <w:trPr>
          <w:cantSplit/>
          <w:tblHeader/>
        </w:trPr>
        <w:tc>
          <w:tcPr>
            <w:tcW w:type="dxa" w:w="470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POR KEEP IT SIMPLE</w:t>
            </w:r>
          </w:p>
        </w:tc>
        <w:tc>
          <w:tcPr>
            <w:tcW w:type="dxa" w:w="470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shd w:fill="0D161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C6D0CC"/>
                <w:spacing w:val="20"/>
                <w:sz w:val="14"/>
                <w:szCs w:val="14"/>
              </w:rPr>
              <w:t xml:space="preserve">POR [CLIENTE]</w:t>
            </w:r>
          </w:p>
        </w:tc>
      </w:tr>
      <w:tr>
        <w:trPr>
          <w:cantSplit/>
        </w:trPr>
        <w:tc>
          <w:tcPr>
            <w:tcW w:type="dxa" w:w="470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</w:p>
          <w:p>
            <w:pPr>
              <w:spacing w:after="30" w:line="252"/>
            </w:pPr>
          </w:p>
          <w:p>
            <w:pPr>
              <w:spacing w:after="30" w:line="252"/>
            </w:pPr>
          </w:p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Firma: ______________________________</w:t>
            </w:r>
          </w:p>
          <w:p>
            <w:pPr>
              <w:spacing w:after="30" w:line="252"/>
            </w:pPr>
          </w:p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Aclaración: __________________________</w:t>
            </w:r>
          </w:p>
          <w:p>
            <w:pPr>
              <w:spacing w:after="30" w:line="252"/>
            </w:pPr>
          </w:p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Cargo: ______________________________</w:t>
            </w:r>
          </w:p>
          <w:p>
            <w:pPr>
              <w:spacing w:after="30" w:line="252"/>
            </w:pPr>
          </w:p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Fecha: ____ / ____ / ________</w:t>
            </w:r>
          </w:p>
        </w:tc>
        <w:tc>
          <w:tcPr>
            <w:tcW w:type="dxa" w:w="4703"/>
            <w:tcBorders>
              <w:top w:val="single" w:color="E3E2DC" w:sz="4"/>
              <w:left w:val="none" w:color="FFFFFF" w:sz="0"/>
              <w:bottom w:val="single" w:color="E3E2DC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30" w:line="252"/>
            </w:pPr>
          </w:p>
          <w:p>
            <w:pPr>
              <w:spacing w:after="30" w:line="252"/>
            </w:pPr>
          </w:p>
          <w:p>
            <w:pPr>
              <w:spacing w:after="30" w:line="252"/>
            </w:pPr>
          </w:p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Firma: ______________________________</w:t>
            </w:r>
          </w:p>
          <w:p>
            <w:pPr>
              <w:spacing w:after="30" w:line="252"/>
            </w:pPr>
          </w:p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Aclaración: __________________________</w:t>
            </w:r>
          </w:p>
          <w:p>
            <w:pPr>
              <w:spacing w:after="30" w:line="252"/>
            </w:pPr>
          </w:p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Cargo: ______________________________</w:t>
            </w:r>
          </w:p>
          <w:p>
            <w:pPr>
              <w:spacing w:after="30" w:line="252"/>
            </w:pPr>
          </w:p>
          <w:p>
            <w:pPr>
              <w:spacing w:after="30" w:line="252"/>
            </w:pPr>
            <w:r>
              <w:rPr>
                <w:rFonts w:ascii="Segoe UI" w:cs="Segoe UI" w:eastAsia="Segoe UI" w:hAnsi="Segoe UI"/>
                <w:color w:val="5C6663"/>
                <w:sz w:val="17"/>
                <w:szCs w:val="17"/>
              </w:rPr>
              <w:t xml:space="preserve">Fecha: ____ / ____ / 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50" w:right="1250" w:bottom="1250" w:left="125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2DC" w:sz="4" w:space="10"/>
      </w:pBdr>
      <w:spacing w:after="0"/>
      <w:jc w:val="center"/>
    </w:pPr>
    <w:r>
      <w:rPr>
        <w:rFonts w:ascii="Consolas" w:cs="Consolas" w:eastAsia="Consolas" w:hAnsi="Consolas"/>
        <w:color w:val="8D968F"/>
        <w:sz w:val="14"/>
        <w:szCs w:val="14"/>
      </w:rPr>
      <w:t xml:space="preserve">Documento confidencial — declaración de cumplimiento  ·  página </w:t>
    </w:r>
    <w:r>
      <w:rPr>
        <w:rFonts w:ascii="Consolas" w:cs="Consolas" w:eastAsia="Consolas" w:hAnsi="Consolas"/>
        <w:color w:val="8D968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8D968F"/>
        <w:sz w:val="14"/>
        <w:szCs w:val="14"/>
      </w:rPr>
      <w:t xml:space="preserve"> de </w:t>
    </w:r>
    <w:r>
      <w:rPr>
        <w:rFonts w:ascii="Consolas" w:cs="Consolas" w:eastAsia="Consolas" w:hAnsi="Consolas"/>
        <w:color w:val="8D968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406"/>
      </w:tabs>
      <w:spacing w:after="0"/>
    </w:pPr>
    <w:r>
      <w:rPr>
        <w:rFonts w:ascii="Consolas" w:cs="Consolas" w:eastAsia="Consolas" w:hAnsi="Consolas"/>
        <w:b/>
        <w:bCs/>
        <w:color w:val="0D1613"/>
        <w:spacing w:val="40"/>
        <w:sz w:val="14"/>
        <w:szCs w:val="14"/>
      </w:rPr>
      <w:t xml:space="preserve">KEEP IT SIMPLE</w:t>
    </w:r>
    <w:r>
      <w:rPr>
        <w:rFonts w:ascii="Consolas" w:cs="Consolas" w:eastAsia="Consolas" w:hAnsi="Consolas"/>
        <w:sz w:val="14"/>
        <w:szCs w:val="14"/>
      </w:rPr>
      <w:t xml:space="preserve">	</w:t>
    </w:r>
    <w:r>
      <w:rPr>
        <w:rFonts w:ascii="Consolas" w:cs="Consolas" w:eastAsia="Consolas" w:hAnsi="Consolas"/>
        <w:color w:val="8D968F"/>
        <w:spacing w:val="20"/>
        <w:sz w:val="14"/>
        <w:szCs w:val="14"/>
      </w:rPr>
      <w:t xml:space="preserve">REMEDIA · COMPROMISOS DE CUMPLIMIENTO EN MATERIA DE DATOS PERSONALES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Segoe UI" w:cs="Segoe UI" w:eastAsia="Segoe UI" w:hAnsi="Segoe UI"/>
        <w:b/>
        <w:bCs/>
        <w:color w:val="12A37C"/>
      </w:rPr>
    </w:lvl>
  </w:abstractNum>
  <w:abstractNum w:abstractNumId="3" w15:restartNumberingAfterBreak="0">
    <w:multiLevelType w:val="hybridMultilevel"/>
    <w:lvl w:ilvl="0" w15:tentative="1">
      <w:start w:val="1"/>
      <w:numFmt w:val="decimalZero"/>
      <w:lvlText w:val="%1"/>
      <w:lvlJc w:val="left"/>
      <w:pPr>
        <w:ind w:left="640" w:hanging="400"/>
      </w:pPr>
      <w:rPr>
        <w:rFonts w:ascii="Consolas" w:cs="Consolas" w:eastAsia="Consolas" w:hAnsi="Consolas"/>
        <w:b/>
        <w:bCs/>
        <w:color w:val="12A37C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5C666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Segoe UI" w:cs="Segoe UI" w:eastAsia="Segoe UI" w:hAnsi="Segoe UI"/>
      <w:b/>
      <w:bCs/>
      <w:color w:val="0D1613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Segoe UI" w:cs="Segoe UI" w:eastAsia="Segoe UI" w:hAnsi="Segoe UI"/>
      <w:b/>
      <w:bCs/>
      <w:color w:val="0D161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Segoe UI" w:cs="Segoe UI" w:eastAsia="Segoe UI" w:hAnsi="Segoe UI"/>
      <w:b/>
      <w:bCs/>
      <w:color w:val="0D1613"/>
      <w:sz w:val="21"/>
      <w:szCs w:val="21"/>
    </w:rPr>
  </w:style>
  <w:style w:type="paragraph" w:styleId="TOC1">
    <w:name w:val="toc 1"/>
    <w:basedOn w:val="Normal"/>
    <w:next w:val="Normal"/>
    <w:pPr>
      <w:spacing w:after="60"/>
    </w:pPr>
    <w:rPr>
      <w:rFonts w:ascii="Segoe UI" w:cs="Segoe UI" w:eastAsia="Segoe UI" w:hAnsi="Segoe UI"/>
      <w:color w:val="0D1613"/>
      <w:sz w:val="19"/>
      <w:szCs w:val="19"/>
    </w:rPr>
  </w:style>
  <w:style w:type="paragraph" w:styleId="TOC2">
    <w:name w:val="toc 2"/>
    <w:basedOn w:val="Normal"/>
    <w:next w:val="Normal"/>
    <w:pPr>
      <w:spacing w:after="40"/>
      <w:ind w:left="360"/>
    </w:pPr>
    <w:rPr>
      <w:rFonts w:ascii="Segoe UI" w:cs="Segoe UI" w:eastAsia="Segoe UI" w:hAnsi="Segoe UI"/>
      <w:color w:val="5C6663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Compromisos de cumplimiento — Datos personales — Remedia</dc:title>
  <dc:creator>Keep IT Simple</dc:creator>
  <cp:lastModifiedBy>Un-named</cp:lastModifiedBy>
  <cp:revision>1</cp:revision>
  <dcterms:created xsi:type="dcterms:W3CDTF">2026-09-11T13:10:24.701Z</dcterms:created>
  <dcterms:modified xsi:type="dcterms:W3CDTF">2026-09-11T13:10:24.702Z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