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907"/>
      </w:tblGrid>
      <w:tr>
        <w:trPr>
          <w:trHeight w:val="4400" w:hRule="exact"/>
        </w:trPr>
        <w:tc>
          <w:tcPr>
            <w:tcW w:type="dxa" w:w="11907"/>
            <w:shd w:fill="EDEDED" w:color="auto" w:val="clear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20040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600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/>
      </w:r>
    </w:p>
    <w:p>
      <w:pPr>
        <w:spacing w:after="240" w:line="276"/>
        <w:ind w:left="1300" w:right="1300"/>
        <w:jc w:val="center"/>
      </w:pPr>
      <w:r>
        <w:rPr>
          <w:rFonts w:ascii="Trebuchet MS" w:cs="Trebuchet MS" w:eastAsia="Trebuchet MS" w:hAnsi="Trebuchet MS"/>
          <w:color w:val="595959"/>
          <w:sz w:val="60"/>
          <w:szCs w:val="60"/>
        </w:rPr>
        <w:t xml:space="preserve">Compromisos de cumplimiento en materia de datos personales</w:t>
      </w:r>
    </w:p>
    <w:p>
      <w:pPr>
        <w:spacing w:after="700"/>
        <w:ind w:left="1300" w:right="1300"/>
        <w:jc w:val="center"/>
      </w:pPr>
      <w:r>
        <w:rPr>
          <w:rFonts w:ascii="Trebuchet MS" w:cs="Trebuchet MS" w:eastAsia="Trebuchet MS" w:hAnsi="Trebuchet MS"/>
          <w:i/>
          <w:iCs/>
          <w:color w:val="595959"/>
          <w:sz w:val="26"/>
          <w:szCs w:val="26"/>
        </w:rPr>
        <w:t xml:space="preserve">Declaración de Keep IT Simple como encargado del tratamiento para el servicio Remedia en [CLIENTE]</w:t>
      </w:r>
    </w:p>
    <w:p>
      <w:pPr>
        <w:spacing w:after="80"/>
        <w:ind w:left="1300" w:right="1300"/>
        <w:jc w:val="center"/>
      </w:pPr>
      <w:r>
        <w:rPr>
          <w:rFonts w:ascii="Trebuchet MS" w:cs="Trebuchet MS" w:eastAsia="Trebuchet MS" w:hAnsi="Trebuchet MS"/>
          <w:b/>
          <w:bCs/>
          <w:color w:val="595959"/>
          <w:sz w:val="20"/>
          <w:szCs w:val="20"/>
        </w:rPr>
        <w:t xml:space="preserve">Documento: </w:t>
      </w:r>
      <w:r>
        <w:rPr>
          <w:rFonts w:ascii="Trebuchet MS" w:cs="Trebuchet MS" w:eastAsia="Trebuchet MS" w:hAnsi="Trebuchet MS"/>
          <w:color w:val="595959"/>
          <w:sz w:val="20"/>
          <w:szCs w:val="20"/>
        </w:rPr>
        <w:t xml:space="preserve">Declaración de cumplimiento — Ley 25.326 de Protección de Datos Personales</w:t>
      </w:r>
    </w:p>
    <w:p>
      <w:pPr>
        <w:spacing w:after="80"/>
        <w:ind w:left="1300" w:right="1300"/>
        <w:jc w:val="center"/>
      </w:pPr>
      <w:r>
        <w:rPr>
          <w:rFonts w:ascii="Trebuchet MS" w:cs="Trebuchet MS" w:eastAsia="Trebuchet MS" w:hAnsi="Trebuchet MS"/>
          <w:b/>
          <w:bCs/>
          <w:color w:val="595959"/>
          <w:sz w:val="20"/>
          <w:szCs w:val="20"/>
        </w:rPr>
        <w:t xml:space="preserve">Servicio: </w:t>
      </w:r>
      <w:r>
        <w:rPr>
          <w:rFonts w:ascii="Trebuchet MS" w:cs="Trebuchet MS" w:eastAsia="Trebuchet MS" w:hAnsi="Trebuchet MS"/>
          <w:color w:val="595959"/>
          <w:sz w:val="20"/>
          <w:szCs w:val="20"/>
        </w:rPr>
        <w:t xml:space="preserve">Remedia — asistente conversacional de WhatsApp</w:t>
      </w:r>
    </w:p>
    <w:p>
      <w:pPr>
        <w:spacing w:after="80"/>
        <w:ind w:left="1300" w:right="1300"/>
        <w:jc w:val="center"/>
      </w:pPr>
      <w:r>
        <w:rPr>
          <w:rFonts w:ascii="Trebuchet MS" w:cs="Trebuchet MS" w:eastAsia="Trebuchet MS" w:hAnsi="Trebuchet MS"/>
          <w:b/>
          <w:bCs/>
          <w:color w:val="595959"/>
          <w:sz w:val="20"/>
          <w:szCs w:val="20"/>
        </w:rPr>
        <w:t xml:space="preserve">Encargado del tratamiento: </w:t>
      </w:r>
      <w:r>
        <w:rPr>
          <w:rFonts w:ascii="Trebuchet MS" w:cs="Trebuchet MS" w:eastAsia="Trebuchet MS" w:hAnsi="Trebuchet MS"/>
          <w:color w:val="595959"/>
          <w:sz w:val="20"/>
          <w:szCs w:val="20"/>
        </w:rPr>
        <w:t xml:space="preserve">Keep IT Simple</w:t>
      </w:r>
    </w:p>
    <w:p>
      <w:pPr>
        <w:spacing w:after="80"/>
        <w:ind w:left="1300" w:right="1300"/>
        <w:jc w:val="center"/>
      </w:pPr>
      <w:r>
        <w:rPr>
          <w:rFonts w:ascii="Trebuchet MS" w:cs="Trebuchet MS" w:eastAsia="Trebuchet MS" w:hAnsi="Trebuchet MS"/>
          <w:b/>
          <w:bCs/>
          <w:color w:val="595959"/>
          <w:sz w:val="20"/>
          <w:szCs w:val="20"/>
        </w:rPr>
        <w:t xml:space="preserve">Responsable de la base de datos: </w:t>
      </w:r>
      <w:r>
        <w:rPr>
          <w:rFonts w:ascii="Trebuchet MS" w:cs="Trebuchet MS" w:eastAsia="Trebuchet MS" w:hAnsi="Trebuchet MS"/>
          <w:color w:val="595959"/>
          <w:sz w:val="20"/>
          <w:szCs w:val="20"/>
        </w:rPr>
        <w:t xml:space="preserve">[CLIENTE]</w:t>
      </w:r>
    </w:p>
    <w:p>
      <w:pPr>
        <w:spacing w:after="80"/>
        <w:ind w:left="1300" w:right="1300"/>
        <w:jc w:val="center"/>
      </w:pPr>
      <w:r>
        <w:rPr>
          <w:rFonts w:ascii="Trebuchet MS" w:cs="Trebuchet MS" w:eastAsia="Trebuchet MS" w:hAnsi="Trebuchet MS"/>
          <w:b/>
          <w:bCs/>
          <w:color w:val="595959"/>
          <w:sz w:val="20"/>
          <w:szCs w:val="20"/>
        </w:rPr>
        <w:t xml:space="preserve">Versión: </w:t>
      </w:r>
      <w:r>
        <w:rPr>
          <w:rFonts w:ascii="Trebuchet MS" w:cs="Trebuchet MS" w:eastAsia="Trebuchet MS" w:hAnsi="Trebuchet MS"/>
          <w:color w:val="595959"/>
          <w:sz w:val="20"/>
          <w:szCs w:val="20"/>
        </w:rPr>
        <w:t xml:space="preserve">1.0 — septiembre de 2026</w:t>
      </w:r>
    </w:p>
    <w:p>
      <w:pPr>
        <w:spacing w:after="80"/>
        <w:ind w:left="1300" w:right="1300"/>
        <w:jc w:val="center"/>
      </w:pPr>
      <w:r>
        <w:rPr>
          <w:rFonts w:ascii="Trebuchet MS" w:cs="Trebuchet MS" w:eastAsia="Trebuchet MS" w:hAnsi="Trebuchet MS"/>
          <w:b/>
          <w:bCs/>
          <w:color w:val="595959"/>
          <w:sz w:val="20"/>
          <w:szCs w:val="20"/>
        </w:rPr>
        <w:t xml:space="preserve">Documento relacionado: </w:t>
      </w:r>
      <w:r>
        <w:rPr>
          <w:rFonts w:ascii="Trebuchet MS" w:cs="Trebuchet MS" w:eastAsia="Trebuchet MS" w:hAnsi="Trebuchet MS"/>
          <w:color w:val="595959"/>
          <w:sz w:val="20"/>
          <w:szCs w:val="20"/>
        </w:rPr>
        <w:t xml:space="preserve">Adecuación a la Ley 25.326 (análisis completo, 20 páginas)</w:t>
      </w:r>
    </w:p>
    <w:p>
      <w:r>
        <w:drawing>
          <wp:anchor distT="0" distB="0" distL="0" distR="0" simplePos="0" allowOverlap="1" behindDoc="1" locked="0" layoutInCell="1" relativeHeight="2828925">
            <wp:simplePos x="0" y="0"/>
            <wp:positionH relativeFrom="page">
              <wp:posOffset>-548640</wp:posOffset>
            </wp:positionH>
            <wp:positionV relativeFrom="page">
              <wp:posOffset>8092440</wp:posOffset>
            </wp:positionV>
            <wp:extent cx="2667000" cy="28289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7"/>
          <w:footerReference w:type="default" r:id="rId8"/>
          <w:pgSz w:w="11907" w:h="16839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keepNext/>
        <w:pBdr>
          <w:bottom w:val="single" w:color="FF9900" w:sz="8" w:space="3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FF9900"/>
          <w:sz w:val="40"/>
          <w:szCs w:val="40"/>
        </w:rPr>
        <w:t xml:space="preserve">1. Declaración</w:t>
      </w:r>
    </w:p>
    <w:p>
      <w:pPr>
        <w:spacing w:after="140" w:line="264"/>
        <w:jc w:val="both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>Keep IT Simple declara que el servicio Remedia, en su implementación para [CLIENTE], opera bajo los compromisos que se detallan en este documento. Cada compromiso es verificable: indica qué se cumple, cómo se cumple y qué evidencia se entrega al Cliente antes del inicio en producción.</w:t>
      </w:r>
    </w:p>
    <w:tbl>
      <w:tblPr>
        <w:tblW w:type="dxa" w:w="9835"/>
        <w:tblBorders>
          <w:top w:val="none" w:color="FFFFFF" w:sz="0"/>
          <w:left w:val="single" w:color="FF9900" w:sz="3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35"/>
      </w:tblGrid>
      <w:tr>
        <w:tc>
          <w:tcPr>
            <w:tcW w:type="dxa" w:w="9835"/>
            <w:shd w:fill="F2F2F2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Trebuchet MS" w:cs="Trebuchet MS" w:eastAsia="Trebuchet MS" w:hAnsi="Trebuchet MS"/>
                <w:b/>
                <w:bCs/>
                <w:color w:val="FF9900"/>
                <w:sz w:val="24"/>
                <w:szCs w:val="24"/>
              </w:rPr>
              <w:t xml:space="preserve">En una frase</w:t>
            </w:r>
          </w:p>
          <w:p>
            <w:pPr>
              <w:spacing w:after="70" w:line="264"/>
              <w:jc w:val="both"/>
            </w:pPr>
            <w:r>
              <w:rPr>
                <w:rFonts w:ascii="Trebuchet MS" w:cs="Trebuchet MS" w:eastAsia="Trebuchet MS" w:hAnsi="Trebuchet MS"/>
                <w:color w:val="000000"/>
                <w:sz w:val="21"/>
                <w:szCs w:val="21"/>
              </w:rPr>
              <w:t xml:space="preserve">Los datos son del Cliente, se usan sólo para atender a sus clientes por WhatsApp, viven el tiempo mínimo necesario, los de salud los trata siempre una persona habilitada, y el titular puede informarse, darse de baja y ejercer sus derechos por el mismo canal.</w:t>
            </w:r>
          </w:p>
        </w:tc>
      </w:tr>
    </w:tbl>
    <w:p>
      <w:pPr>
        <w:spacing w:after="60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/>
      </w:r>
    </w:p>
    <w:p>
      <w:pPr>
        <w:spacing w:after="140" w:line="264"/>
        <w:jc w:val="both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>Este documento resume los compromisos; el análisis normativo, el inventario de datos y los anexos contractuales están en el documento de adecuación completo. Ambos forman parte de la propuesta de implementación.</w:t>
      </w:r>
    </w:p>
    <w:p>
      <w:pPr>
        <w:pStyle w:val="Heading1"/>
        <w:keepNext/>
        <w:pBdr>
          <w:bottom w:val="single" w:color="FF9900" w:sz="8" w:space="3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FF9900"/>
          <w:sz w:val="40"/>
          <w:szCs w:val="40"/>
        </w:rPr>
        <w:t xml:space="preserve">2. Qué cumplimos, artículo por artículo</w:t>
      </w:r>
    </w:p>
    <w:p>
      <w:pPr>
        <w:spacing w:after="140" w:line="264"/>
        <w:jc w:val="both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>La tabla recorre las obligaciones de la Ley 25.326 y su reglamentación que alcanzan al servicio, y el compromiso concreto frente a cada una.</w:t>
      </w:r>
    </w:p>
    <w:tbl>
      <w:tblPr>
        <w:tblW w:type="dxa" w:w="9834"/>
        <w:tblBorders>
          <w:top w:val="single" w:color="ED7D31" w:sz="6"/>
          <w:left w:val="single" w:color="ED7D31" w:sz="6"/>
          <w:bottom w:val="single" w:color="ED7D31" w:sz="6"/>
          <w:right w:val="single" w:color="ED7D31" w:sz="6"/>
          <w:insideH w:val="single" w:color="ED7D31" w:sz="6"/>
          <w:insideV w:val="single" w:color="ED7D31" w:sz="6"/>
        </w:tblBorders>
      </w:tblPr>
      <w:tblGrid>
        <w:gridCol w:w="2724"/>
        <w:gridCol w:w="4467"/>
        <w:gridCol w:w="2643"/>
      </w:tblGrid>
      <w:tr>
        <w:trPr>
          <w:cantSplit/>
          <w:tblHeader/>
        </w:trPr>
        <w:tc>
          <w:tcPr>
            <w:tcW w:type="dxa" w:w="2724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Obligación legal</w:t>
            </w:r>
          </w:p>
        </w:tc>
        <w:tc>
          <w:tcPr>
            <w:tcW w:type="dxa" w:w="4467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Compromiso de Keep IT Simple</w:t>
            </w:r>
          </w:p>
        </w:tc>
        <w:tc>
          <w:tcPr>
            <w:tcW w:type="dxa" w:w="2643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Cómo se verifica</w:t>
            </w:r>
          </w:p>
        </w:tc>
      </w:tr>
      <w:tr>
        <w:trPr>
          <w:cantSplit/>
        </w:trPr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000000"/>
                <w:sz w:val="18"/>
                <w:szCs w:val="18"/>
              </w:rPr>
              <w:t xml:space="preserve">Art. 4 — Calidad y finalidad.</w:t>
            </w: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 Los datos deben ser ciertos, adecuados, pertinentes y no excesivos respecto de la finalidad, y destruirse cuando dejan de ser necesarios.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El asistente recolecta sólo lo indispensable para cada paso: teléfono, lo que el cliente escribe, y una dirección únicamente si eligió envío a domicilio. No pide DNI, correo ni fecha de nacimiento.</w:t>
            </w:r>
          </w:p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Cada dato tiene vencimiento: sesión 25 horas, imágenes 7 días, pedidos 7 días, historial según la política acordada con el Cliente.</w:t>
            </w:r>
          </w:p>
        </w:tc>
        <w:tc>
          <w:tcPr>
            <w:tcW w:type="dxa" w:w="264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Inventario de datos con retención por categoría; job de depuración activo; captura de la configuración.</w:t>
            </w:r>
          </w:p>
        </w:tc>
      </w:tr>
      <w:tr>
        <w:trPr>
          <w:cantSplit/>
        </w:trPr>
        <w:tc>
          <w:tcPr>
            <w:tcW w:type="dxa" w:w="2724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000000"/>
                <w:sz w:val="18"/>
                <w:szCs w:val="18"/>
              </w:rPr>
              <w:t xml:space="preserve">Art. 5 — Consentimiento.</w:t>
            </w: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 El tratamiento requiere consentimiento libre, expreso e informado, salvo excepciones (relación contractual, datos de contacto básicos).</w:t>
            </w:r>
          </w:p>
        </w:tc>
        <w:tc>
          <w:tcPr>
            <w:tcW w:type="dxa" w:w="4467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El titular inicia la conversación de forma voluntaria y recibe el aviso de privacidad antes de que se le pida ningún dato.</w:t>
            </w:r>
          </w:p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Para socios y clientes existentes se apoya además en la relación previa con el Cliente (art. 5 inc. 2).</w:t>
            </w:r>
          </w:p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Los mensajes proactivos (promociones, recordatorios) sólo se envían con opt-in registrado.</w:t>
            </w:r>
          </w:p>
        </w:tc>
        <w:tc>
          <w:tcPr>
            <w:tcW w:type="dxa" w:w="2643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Texto del aviso configurado; prueba de flujo; registro de opt-in.</w:t>
            </w:r>
          </w:p>
        </w:tc>
      </w:tr>
      <w:tr>
        <w:trPr>
          <w:cantSplit/>
        </w:trPr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000000"/>
                <w:sz w:val="18"/>
                <w:szCs w:val="18"/>
              </w:rPr>
              <w:t xml:space="preserve">Art. 6 — Información.</w:t>
            </w: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 Al recolectar datos hay que informar finalidad, destinatarios, carácter obligatorio u optativo, consecuencias de no proveerlos, y derechos.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Aviso en el primer mensaje de cada conversación nueva con los cinco elementos del artículo, más la identificación del asistente como sistema automatizado y el enlace a la política de privacidad del Cliente.</w:t>
            </w:r>
          </w:p>
        </w:tc>
        <w:tc>
          <w:tcPr>
            <w:tcW w:type="dxa" w:w="264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Captura del primer mensaje; texto aprobado por el Cliente.</w:t>
            </w:r>
          </w:p>
        </w:tc>
      </w:tr>
      <w:tr>
        <w:trPr>
          <w:cantSplit/>
        </w:trPr>
        <w:tc>
          <w:tcPr>
            <w:tcW w:type="dxa" w:w="2724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000000"/>
                <w:sz w:val="18"/>
                <w:szCs w:val="18"/>
              </w:rPr>
              <w:t xml:space="preserve">Art. 7 y 8 — Datos sensibles y de salud.</w:t>
            </w: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 Sólo pueden tratarse con consentimiento expreso o por establecimientos sanitarios y profesionales de la salud, bajo secreto profesional.</w:t>
            </w:r>
          </w:p>
        </w:tc>
        <w:tc>
          <w:tcPr>
            <w:tcW w:type="dxa" w:w="4467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El asistente nunca interpreta ni resuelve una receta: la reconoce, la guarda de forma temporal y la deriva a un operador habilitado del Cliente.</w:t>
            </w:r>
          </w:p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El modelo de lenguaje no recibe DNI, domicilio, diagnóstico ni el paquete de datos de la receta.</w:t>
            </w:r>
          </w:p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La lectura automática de recetas está desactivada por defecto y sólo se habilita por decisión escrita del Cliente.</w:t>
            </w:r>
          </w:p>
        </w:tc>
        <w:tc>
          <w:tcPr>
            <w:tcW w:type="dxa" w:w="2643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Prueba del circuito de receta; configuración de la función de lectura; registro de la decisión del Cliente.</w:t>
            </w:r>
          </w:p>
        </w:tc>
      </w:tr>
      <w:tr>
        <w:trPr>
          <w:cantSplit/>
        </w:trPr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000000"/>
                <w:sz w:val="18"/>
                <w:szCs w:val="18"/>
              </w:rPr>
              <w:t xml:space="preserve">Art. 9 — Seguridad.</w:t>
            </w: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 Medidas técnicas y organizativas para garantizar seguridad y confidencialidad, evitar adulteración, pérdida y acceso no autorizado.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Medidas alineadas con la Resolución AAIP 47/2018, detalladas en la sección 6 de este documento: cifrado en tránsito y en reposo, usuarios individuales con roles, auditoría, respaldos, gestión de vulnerabilidades e incidentes.</w:t>
            </w:r>
          </w:p>
        </w:tc>
        <w:tc>
          <w:tcPr>
            <w:tcW w:type="dxa" w:w="264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Matriz de controles con evidencia por control; informe de revisión de seguridad previo al go-live.</w:t>
            </w:r>
          </w:p>
        </w:tc>
      </w:tr>
      <w:tr>
        <w:trPr>
          <w:cantSplit/>
        </w:trPr>
        <w:tc>
          <w:tcPr>
            <w:tcW w:type="dxa" w:w="2724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000000"/>
                <w:sz w:val="18"/>
                <w:szCs w:val="18"/>
              </w:rPr>
              <w:t xml:space="preserve">Art. 10 — Deber de confidencialidad.</w:t>
            </w: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 Quienes intervienen en el tratamiento están obligados al secreto profesional, aun después de finalizada la relación.</w:t>
            </w:r>
          </w:p>
        </w:tc>
        <w:tc>
          <w:tcPr>
            <w:tcW w:type="dxa" w:w="4467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Todo el personal de Keep IT Simple con acceso a producción firma acuerdo de confidencialidad; el acceso es nominal, revocable y registrado. Los operadores del Cliente acceden con usuario propio.</w:t>
            </w:r>
          </w:p>
        </w:tc>
        <w:tc>
          <w:tcPr>
            <w:tcW w:type="dxa" w:w="2643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Modelo de acuerdo firmado; listado de accesos vigentes.</w:t>
            </w:r>
          </w:p>
        </w:tc>
      </w:tr>
      <w:tr>
        <w:trPr>
          <w:cantSplit/>
        </w:trPr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000000"/>
                <w:sz w:val="18"/>
                <w:szCs w:val="18"/>
              </w:rPr>
              <w:t xml:space="preserve">Art. 11 — Cesión.</w:t>
            </w: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 Los datos sólo pueden cederse para fines relacionados con el interés legítimo del cedente y del cesionario, con consentimiento del titular.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Keep IT Simple no cede datos a nadie. Los terceros que intervienen son subencargados que prestan un servicio técnico bajo contrato, no cesionarios. La lista es cerrada y la aprueba el Cliente.</w:t>
            </w:r>
          </w:p>
        </w:tc>
        <w:tc>
          <w:tcPr>
            <w:tcW w:type="dxa" w:w="264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Matriz de subencargados aprobada; cláusula de no cesión en el contrato.</w:t>
            </w:r>
          </w:p>
        </w:tc>
      </w:tr>
      <w:tr>
        <w:trPr>
          <w:cantSplit/>
        </w:trPr>
        <w:tc>
          <w:tcPr>
            <w:tcW w:type="dxa" w:w="2724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000000"/>
                <w:sz w:val="18"/>
                <w:szCs w:val="18"/>
              </w:rPr>
              <w:t xml:space="preserve">Art. 12 — Transferencia internacional.</w:t>
            </w: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 Prohibida hacia países sin nivel adecuado de protección, salvo consentimiento o cláusulas contractuales.</w:t>
            </w:r>
          </w:p>
        </w:tc>
        <w:tc>
          <w:tcPr>
            <w:tcW w:type="dxa" w:w="4467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Los subencargados radicados en Estados Unidos (mensajería, inteligencia artificial, nube) operan bajo los contratos modelo de la Disposición 60-E/2016 y sus términos de API prohíben el uso de los datos para entrenamiento. El aviso de privacidad informa la transferencia.</w:t>
            </w:r>
          </w:p>
        </w:tc>
        <w:tc>
          <w:tcPr>
            <w:tcW w:type="dxa" w:w="2643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Cláusulas incorporadas; términos de cada proveedor archivados.</w:t>
            </w:r>
          </w:p>
        </w:tc>
      </w:tr>
      <w:tr>
        <w:trPr>
          <w:cantSplit/>
        </w:trPr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000000"/>
                <w:sz w:val="18"/>
                <w:szCs w:val="18"/>
              </w:rPr>
              <w:t xml:space="preserve">Art. 14 — Derecho de acceso.</w:t>
            </w: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 El titular puede pedir sus datos y obtenerlos dentro de los 10 días corridos.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El Cliente exporta desde el panel el historial y los pedidos de un número. Keep IT Simple responde cualquier pedido interno del Cliente en 48 horas hábiles.</w:t>
            </w:r>
          </w:p>
        </w:tc>
        <w:tc>
          <w:tcPr>
            <w:tcW w:type="dxa" w:w="264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Prueba de exportación; procedimiento escrito.</w:t>
            </w:r>
          </w:p>
        </w:tc>
      </w:tr>
      <w:tr>
        <w:trPr>
          <w:cantSplit/>
        </w:trPr>
        <w:tc>
          <w:tcPr>
            <w:tcW w:type="dxa" w:w="2724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000000"/>
                <w:sz w:val="18"/>
                <w:szCs w:val="18"/>
              </w:rPr>
              <w:t xml:space="preserve">Art. 16 — Rectificación, actualización y supresión.</w:t>
            </w: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 Dentro de los 5 días hábiles de la solicitud.</w:t>
            </w:r>
          </w:p>
        </w:tc>
        <w:tc>
          <w:tcPr>
            <w:tcW w:type="dxa" w:w="4467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Acción "Suprimir titular" en el panel: borra sesión, pedidos, imágenes e historial, conserva sólo lo exigido por ley y una marca de exclusión para no volver a contactarlo. Rectificación de padrón desde la fuente del Cliente.</w:t>
            </w:r>
          </w:p>
        </w:tc>
        <w:tc>
          <w:tcPr>
            <w:tcW w:type="dxa" w:w="2643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Prueba de supresión con datos sintéticos; registro de auditoría de la acción.</w:t>
            </w:r>
          </w:p>
        </w:tc>
      </w:tr>
      <w:tr>
        <w:trPr>
          <w:cantSplit/>
        </w:trPr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000000"/>
                <w:sz w:val="18"/>
                <w:szCs w:val="18"/>
              </w:rPr>
              <w:t xml:space="preserve">Art. 21 — Registro de bases de datos.</w:t>
            </w: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 El responsable debe inscribir sus bases ante la AAIP.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Keep IT Simple entrega en la primera semana la descripción técnica completa (finalidad, categorías, ubicación, medidas, transferencias) para que el Cliente incorpore el canal a su inscripción.</w:t>
            </w:r>
          </w:p>
        </w:tc>
        <w:tc>
          <w:tcPr>
            <w:tcW w:type="dxa" w:w="264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Descripción técnica entregada.</w:t>
            </w:r>
          </w:p>
        </w:tc>
      </w:tr>
      <w:tr>
        <w:trPr>
          <w:cantSplit/>
        </w:trPr>
        <w:tc>
          <w:tcPr>
            <w:tcW w:type="dxa" w:w="2724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000000"/>
                <w:sz w:val="18"/>
                <w:szCs w:val="18"/>
              </w:rPr>
              <w:t xml:space="preserve">Art. 25 — Prestación de servicios de tratamiento.</w:t>
            </w: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 El encargado no puede aplicar los datos a otro fin ni cederlos; el contrato regula el tratamiento; los datos se destruyen al terminar.</w:t>
            </w:r>
          </w:p>
        </w:tc>
        <w:tc>
          <w:tcPr>
            <w:tcW w:type="dxa" w:w="4467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Contrato de encargo con las cláusulas mínimas (objeto e instrucciones, confidencialidad, seguridad, subencargados, transferencias, asistencia, incidentes, devolución y destrucción, auditoría). Al fin del contrato: devolución en formato estructurado o destrucción certificada en 30 días.</w:t>
            </w:r>
          </w:p>
        </w:tc>
        <w:tc>
          <w:tcPr>
            <w:tcW w:type="dxa" w:w="2643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Contrato firmado; certificado de destrucción al cierre.</w:t>
            </w:r>
          </w:p>
        </w:tc>
      </w:tr>
      <w:tr>
        <w:trPr>
          <w:cantSplit/>
        </w:trPr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000000"/>
                <w:sz w:val="18"/>
                <w:szCs w:val="18"/>
              </w:rPr>
              <w:t xml:space="preserve">Art. 27 — Archivos con fines publicitarios.</w:t>
            </w: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 El titular puede pedir en cualquier momento el retiro o bloqueo de su nombre.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Palabra BAJA en el chat: confirmación inmediata, exclusión de todo mensaje proactivo y marca que sobrevive a la depuración del resto de los datos.</w:t>
            </w:r>
          </w:p>
        </w:tc>
        <w:tc>
          <w:tcPr>
            <w:tcW w:type="dxa" w:w="264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Prueba de baja; registro de exclusiones.</w:t>
            </w:r>
          </w:p>
        </w:tc>
      </w:tr>
      <w:tr>
        <w:trPr>
          <w:cantSplit/>
        </w:trPr>
        <w:tc>
          <w:tcPr>
            <w:tcW w:type="dxa" w:w="2724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000000"/>
                <w:sz w:val="18"/>
                <w:szCs w:val="18"/>
              </w:rPr>
              <w:t xml:space="preserve">Res. AAIP 47/2018 — Medidas de seguridad recomendadas.</w:t>
            </w:r>
          </w:p>
        </w:tc>
        <w:tc>
          <w:tcPr>
            <w:tcW w:type="dxa" w:w="4467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Adoptadas en los nueve dominios de la resolución (ver sección 6).</w:t>
            </w:r>
          </w:p>
        </w:tc>
        <w:tc>
          <w:tcPr>
            <w:tcW w:type="dxa" w:w="2643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Matriz de controles.</w:t>
            </w:r>
          </w:p>
        </w:tc>
      </w:tr>
      <w:tr>
        <w:trPr>
          <w:cantSplit/>
        </w:trPr>
        <w:tc>
          <w:tcPr>
            <w:tcW w:type="dxa" w:w="272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000000"/>
                <w:sz w:val="18"/>
                <w:szCs w:val="18"/>
              </w:rPr>
              <w:t xml:space="preserve">Res. AAIP 4/2019 — Decisiones automatizadas y transparencia.</w:t>
            </w:r>
          </w:p>
        </w:tc>
        <w:tc>
          <w:tcPr>
            <w:tcW w:type="dxa" w:w="446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El asistente se identifica como sistema automatizado y toda decisión con efecto para el titular (validación de receta, reclamo, reintegro) la toma una persona del Cliente.</w:t>
            </w:r>
          </w:p>
        </w:tc>
        <w:tc>
          <w:tcPr>
            <w:tcW w:type="dxa" w:w="2643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Aviso inicial; circuito de derivación.</w:t>
            </w:r>
          </w:p>
        </w:tc>
      </w:tr>
    </w:tbl>
    <w:p>
      <w:pPr>
        <w:pStyle w:val="Heading1"/>
        <w:keepNext/>
        <w:pBdr>
          <w:bottom w:val="single" w:color="FF9900" w:sz="8" w:space="3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FF9900"/>
          <w:sz w:val="40"/>
          <w:szCs w:val="40"/>
        </w:rPr>
        <w:t xml:space="preserve">3. Qué datos tratamos y por cuánto tiempo</w:t>
      </w:r>
    </w:p>
    <w:tbl>
      <w:tblPr>
        <w:tblW w:type="dxa" w:w="9835"/>
        <w:tblBorders>
          <w:top w:val="single" w:color="ED7D31" w:sz="6"/>
          <w:left w:val="single" w:color="ED7D31" w:sz="6"/>
          <w:bottom w:val="single" w:color="ED7D31" w:sz="6"/>
          <w:right w:val="single" w:color="ED7D31" w:sz="6"/>
          <w:insideH w:val="single" w:color="ED7D31" w:sz="6"/>
          <w:insideV w:val="single" w:color="ED7D31" w:sz="6"/>
        </w:tblBorders>
      </w:tblPr>
      <w:tblGrid>
        <w:gridCol w:w="3269"/>
        <w:gridCol w:w="3269"/>
        <w:gridCol w:w="3297"/>
      </w:tblGrid>
      <w:tr>
        <w:trPr>
          <w:cantSplit/>
          <w:tblHeader/>
        </w:trPr>
        <w:tc>
          <w:tcPr>
            <w:tcW w:type="dxa" w:w="3269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3269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  <w:tc>
          <w:tcPr>
            <w:tcW w:type="dxa" w:w="3297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Hasta cuándo</w:t>
            </w:r>
          </w:p>
        </w:tc>
      </w:tr>
      <w:tr>
        <w:trPr>
          <w:cantSplit/>
        </w:trPr>
        <w:tc>
          <w:tcPr>
            <w:tcW w:type="dxa" w:w="326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Teléfono de WhatsApp</w:t>
            </w:r>
          </w:p>
        </w:tc>
        <w:tc>
          <w:tcPr>
            <w:tcW w:type="dxa" w:w="326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Identificar la conversación y avisar pedidos</w:t>
            </w:r>
          </w:p>
        </w:tc>
        <w:tc>
          <w:tcPr>
            <w:tcW w:type="dxa" w:w="329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Sesión 25 h; pedidos 7 días; historial según política del Cliente (sugerido 12 meses)</w:t>
            </w:r>
          </w:p>
        </w:tc>
      </w:tr>
      <w:tr>
        <w:trPr>
          <w:cantSplit/>
        </w:trPr>
        <w:tc>
          <w:tcPr>
            <w:tcW w:type="dxa" w:w="3269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Contenido de la conversación</w:t>
            </w:r>
          </w:p>
        </w:tc>
        <w:tc>
          <w:tcPr>
            <w:tcW w:type="dxa" w:w="3269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Atender, cotizar, dar trazabilidad al operador</w:t>
            </w:r>
          </w:p>
        </w:tc>
        <w:tc>
          <w:tcPr>
            <w:tcW w:type="dxa" w:w="3297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Ídem historial</w:t>
            </w:r>
          </w:p>
        </w:tc>
      </w:tr>
      <w:tr>
        <w:trPr>
          <w:cantSplit/>
        </w:trPr>
        <w:tc>
          <w:tcPr>
            <w:tcW w:type="dxa" w:w="326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Nombre y número de socio (del padrón del Cliente)</w:t>
            </w:r>
          </w:p>
        </w:tc>
        <w:tc>
          <w:tcPr>
            <w:tcW w:type="dxa" w:w="326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Descuento de socio y saludo por nombre</w:t>
            </w:r>
          </w:p>
        </w:tc>
        <w:tc>
          <w:tcPr>
            <w:tcW w:type="dxa" w:w="329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Mientras el Cliente mantenga el padrón</w:t>
            </w:r>
          </w:p>
        </w:tc>
      </w:tr>
      <w:tr>
        <w:trPr>
          <w:cantSplit/>
        </w:trPr>
        <w:tc>
          <w:tcPr>
            <w:tcW w:type="dxa" w:w="3269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Dirección de envío</w:t>
            </w:r>
          </w:p>
        </w:tc>
        <w:tc>
          <w:tcPr>
            <w:tcW w:type="dxa" w:w="3269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Entregar a domicilio</w:t>
            </w:r>
          </w:p>
        </w:tc>
        <w:tc>
          <w:tcPr>
            <w:tcW w:type="dxa" w:w="3297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7 días; luego se enmascara</w:t>
            </w:r>
          </w:p>
        </w:tc>
      </w:tr>
      <w:tr>
        <w:trPr>
          <w:cantSplit/>
        </w:trPr>
        <w:tc>
          <w:tcPr>
            <w:tcW w:type="dxa" w:w="326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Imagen de receta o credencial (dato de salud)</w:t>
            </w:r>
          </w:p>
        </w:tc>
        <w:tc>
          <w:tcPr>
            <w:tcW w:type="dxa" w:w="326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Que un operador habilitado la cotice</w:t>
            </w:r>
          </w:p>
        </w:tc>
        <w:tc>
          <w:tcPr>
            <w:tcW w:type="dxa" w:w="329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7 días, borrado automático</w:t>
            </w:r>
          </w:p>
        </w:tc>
      </w:tr>
      <w:tr>
        <w:trPr>
          <w:cantSplit/>
        </w:trPr>
        <w:tc>
          <w:tcPr>
            <w:tcW w:type="dxa" w:w="3269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Datos de pago</w:t>
            </w:r>
          </w:p>
        </w:tc>
        <w:tc>
          <w:tcPr>
            <w:tcW w:type="dxa" w:w="3269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Confirmar el cobro</w:t>
            </w:r>
          </w:p>
        </w:tc>
        <w:tc>
          <w:tcPr>
            <w:tcW w:type="dxa" w:w="3297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Sólo identificador de pago, marca y primeros 6 dígitos. Nunca el número completo</w:t>
            </w:r>
          </w:p>
        </w:tc>
      </w:tr>
      <w:tr>
        <w:trPr>
          <w:cantSplit/>
        </w:trPr>
        <w:tc>
          <w:tcPr>
            <w:tcW w:type="dxa" w:w="326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Acciones de operadores</w:t>
            </w:r>
          </w:p>
        </w:tc>
        <w:tc>
          <w:tcPr>
            <w:tcW w:type="dxa" w:w="326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Auditoría</w:t>
            </w:r>
          </w:p>
        </w:tc>
        <w:tc>
          <w:tcPr>
            <w:tcW w:type="dxa" w:w="329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24 meses</w:t>
            </w:r>
          </w:p>
        </w:tc>
      </w:tr>
    </w:tbl>
    <w:p>
      <w:pPr>
        <w:spacing w:after="60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/>
      </w:r>
    </w:p>
    <w:p>
      <w:pPr>
        <w:spacing w:after="140" w:line="264"/>
        <w:jc w:val="both"/>
      </w:pPr>
      <w:r>
        <w:rPr>
          <w:rFonts w:ascii="Trebuchet MS" w:cs="Trebuchet MS" w:eastAsia="Trebuchet MS" w:hAnsi="Trebuchet MS"/>
          <w:b/>
          <w:bCs/>
          <w:color w:val="000000"/>
          <w:sz w:val="22"/>
          <w:szCs w:val="22"/>
        </w:rPr>
        <w:t xml:space="preserve">Lo que no tratamos:</w:t>
      </w: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> no pedimos DNI, correo ni fecha de nacimiento; no leemos el DNI ni el domicilio del padrón para conversar; no conservamos audios; no guardamos datos de tarjeta; no usamos los datos para ningún fin propio ni los cruzamos con otros clientes.</w:t>
      </w:r>
    </w:p>
    <w:p>
      <w:pPr>
        <w:pStyle w:val="Heading1"/>
        <w:keepNext/>
        <w:pBdr>
          <w:bottom w:val="single" w:color="FF9900" w:sz="8" w:space="3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FF9900"/>
          <w:sz w:val="40"/>
          <w:szCs w:val="40"/>
        </w:rPr>
        <w:t xml:space="preserve">4. Datos de salud: el compromiso específico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>Una foto de receta o credencial se reconoce automáticamente y se guarda en un espacio temporal, accesible sólo con usuario autenticado del Cliente.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>La conversación se deriva de inmediato a un operador. El asistente informa al cliente que una persona continuará y deja de responder de forma automática.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>El operador cotiza y valida desde el panel. Ninguna decisión sobre la receta la toma el asistente.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>A los 7 días la imagen se elimina. En el historial queda sólo la constancia de que hubo una derivación por receta.</w:t>
      </w:r>
    </w:p>
    <w:p>
      <w:pPr>
        <w:pStyle w:val="ListParagraph"/>
        <w:numPr>
          <w:ilvl w:val="0"/>
          <w:numId w:val="2"/>
        </w:numPr>
        <w:spacing w:after="80" w:line="264"/>
        <w:jc w:val="both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>Si el Cliente no es un establecimiento sanitario (por ejemplo, una mutual), el asistente no procesa recetas: deriva sin almacenar.</w:t>
      </w:r>
    </w:p>
    <w:p>
      <w:pPr>
        <w:pStyle w:val="Heading1"/>
        <w:keepNext/>
        <w:pBdr>
          <w:bottom w:val="single" w:color="FF9900" w:sz="8" w:space="3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FF9900"/>
          <w:sz w:val="40"/>
          <w:szCs w:val="40"/>
        </w:rPr>
        <w:t xml:space="preserve">5. Derechos del titular: cómo se ejercen</w:t>
      </w:r>
    </w:p>
    <w:tbl>
      <w:tblPr>
        <w:tblW w:type="dxa" w:w="9835"/>
        <w:tblBorders>
          <w:top w:val="single" w:color="ED7D31" w:sz="6"/>
          <w:left w:val="single" w:color="ED7D31" w:sz="6"/>
          <w:bottom w:val="single" w:color="ED7D31" w:sz="6"/>
          <w:right w:val="single" w:color="ED7D31" w:sz="6"/>
          <w:insideH w:val="single" w:color="ED7D31" w:sz="6"/>
          <w:insideV w:val="single" w:color="ED7D31" w:sz="6"/>
        </w:tblBorders>
      </w:tblPr>
      <w:tblGrid>
        <w:gridCol w:w="2615"/>
        <w:gridCol w:w="5012"/>
        <w:gridCol w:w="2208"/>
      </w:tblGrid>
      <w:tr>
        <w:trPr>
          <w:cantSplit/>
          <w:tblHeader/>
        </w:trPr>
        <w:tc>
          <w:tcPr>
            <w:tcW w:type="dxa" w:w="2615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Derecho</w:t>
            </w:r>
          </w:p>
        </w:tc>
        <w:tc>
          <w:tcPr>
            <w:tcW w:type="dxa" w:w="5012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2208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</w:tr>
      <w:tr>
        <w:trPr>
          <w:cantSplit/>
        </w:trPr>
        <w:tc>
          <w:tcPr>
            <w:tcW w:type="dxa" w:w="261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Información</w:t>
            </w:r>
          </w:p>
        </w:tc>
        <w:tc>
          <w:tcPr>
            <w:tcW w:type="dxa" w:w="50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Aviso en el primer mensaje</w:t>
            </w:r>
          </w:p>
        </w:tc>
        <w:tc>
          <w:tcPr>
            <w:tcW w:type="dxa" w:w="220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Inmediato</w:t>
            </w:r>
          </w:p>
        </w:tc>
      </w:tr>
      <w:tr>
        <w:trPr>
          <w:cantSplit/>
        </w:trPr>
        <w:tc>
          <w:tcPr>
            <w:tcW w:type="dxa" w:w="2615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Baja de comunicaciones</w:t>
            </w:r>
          </w:p>
        </w:tc>
        <w:tc>
          <w:tcPr>
            <w:tcW w:type="dxa" w:w="5012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Escribir BAJA en el chat</w:t>
            </w:r>
          </w:p>
        </w:tc>
        <w:tc>
          <w:tcPr>
            <w:tcW w:type="dxa" w:w="2208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Inmediato</w:t>
            </w:r>
          </w:p>
        </w:tc>
      </w:tr>
      <w:tr>
        <w:trPr>
          <w:cantSplit/>
        </w:trPr>
        <w:tc>
          <w:tcPr>
            <w:tcW w:type="dxa" w:w="261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Acceso</w:t>
            </w:r>
          </w:p>
        </w:tc>
        <w:tc>
          <w:tcPr>
            <w:tcW w:type="dxa" w:w="50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Pedido al Cliente por WhatsApp, correo o el canal designado; exportación desde el panel</w:t>
            </w:r>
          </w:p>
        </w:tc>
        <w:tc>
          <w:tcPr>
            <w:tcW w:type="dxa" w:w="220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10 días corridos</w:t>
            </w:r>
          </w:p>
        </w:tc>
      </w:tr>
      <w:tr>
        <w:trPr>
          <w:cantSplit/>
        </w:trPr>
        <w:tc>
          <w:tcPr>
            <w:tcW w:type="dxa" w:w="2615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Rectificación / actualización</w:t>
            </w:r>
          </w:p>
        </w:tc>
        <w:tc>
          <w:tcPr>
            <w:tcW w:type="dxa" w:w="5012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Pedido al Cliente; corrección en padrón o pedido</w:t>
            </w:r>
          </w:p>
        </w:tc>
        <w:tc>
          <w:tcPr>
            <w:tcW w:type="dxa" w:w="2208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5 días hábiles</w:t>
            </w:r>
          </w:p>
        </w:tc>
      </w:tr>
      <w:tr>
        <w:trPr>
          <w:cantSplit/>
        </w:trPr>
        <w:tc>
          <w:tcPr>
            <w:tcW w:type="dxa" w:w="261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Supresión</w:t>
            </w:r>
          </w:p>
        </w:tc>
        <w:tc>
          <w:tcPr>
            <w:tcW w:type="dxa" w:w="501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Pedido al Cliente; acción de supresión en el panel con auditoría</w:t>
            </w:r>
          </w:p>
        </w:tc>
        <w:tc>
          <w:tcPr>
            <w:tcW w:type="dxa" w:w="220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5 días hábiles</w:t>
            </w:r>
          </w:p>
        </w:tc>
      </w:tr>
    </w:tbl>
    <w:p>
      <w:pPr>
        <w:pStyle w:val="Heading1"/>
        <w:keepNext/>
        <w:pBdr>
          <w:bottom w:val="single" w:color="FF9900" w:sz="8" w:space="3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FF9900"/>
          <w:sz w:val="40"/>
          <w:szCs w:val="40"/>
        </w:rPr>
        <w:t xml:space="preserve">6. Medidas de seguridad comprometidas</w:t>
      </w:r>
    </w:p>
    <w:tbl>
      <w:tblPr>
        <w:tblW w:type="dxa" w:w="9835"/>
        <w:tblBorders>
          <w:top w:val="single" w:color="ED7D31" w:sz="6"/>
          <w:left w:val="single" w:color="ED7D31" w:sz="6"/>
          <w:bottom w:val="single" w:color="ED7D31" w:sz="6"/>
          <w:right w:val="single" w:color="ED7D31" w:sz="6"/>
          <w:insideH w:val="single" w:color="ED7D31" w:sz="6"/>
          <w:insideV w:val="single" w:color="ED7D31" w:sz="6"/>
        </w:tblBorders>
      </w:tblPr>
      <w:tblGrid>
        <w:gridCol w:w="2615"/>
        <w:gridCol w:w="7220"/>
      </w:tblGrid>
      <w:tr>
        <w:trPr>
          <w:cantSplit/>
          <w:tblHeader/>
        </w:trPr>
        <w:tc>
          <w:tcPr>
            <w:tcW w:type="dxa" w:w="2615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Dominio</w:t>
            </w:r>
          </w:p>
        </w:tc>
        <w:tc>
          <w:tcPr>
            <w:tcW w:type="dxa" w:w="7220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Compromiso</w:t>
            </w:r>
          </w:p>
        </w:tc>
      </w:tr>
      <w:tr>
        <w:trPr>
          <w:cantSplit/>
        </w:trPr>
        <w:tc>
          <w:tcPr>
            <w:tcW w:type="dxa" w:w="261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Cifrado</w:t>
            </w:r>
          </w:p>
        </w:tc>
        <w:tc>
          <w:tcPr>
            <w:tcW w:type="dxa" w:w="72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TLS 1.2+ en toda comunicación. Discos cifrados por el proveedor de nube; imágenes de recetas y padrón cifrados además a nivel de aplicación con clave rotable.</w:t>
            </w:r>
          </w:p>
        </w:tc>
      </w:tr>
      <w:tr>
        <w:trPr>
          <w:cantSplit/>
        </w:trPr>
        <w:tc>
          <w:tcPr>
            <w:tcW w:type="dxa" w:w="2615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Control de acceso</w:t>
            </w:r>
          </w:p>
        </w:tc>
        <w:tc>
          <w:tcPr>
            <w:tcW w:type="dxa" w:w="722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Usuarios individuales con contraseña y roles (administrador, dueño, operador). Sin claves compartidas. Sesiones con expiración. Baja inmediata al desvincular a un operador.</w:t>
            </w:r>
          </w:p>
        </w:tc>
      </w:tr>
      <w:tr>
        <w:trPr>
          <w:cantSplit/>
        </w:trPr>
        <w:tc>
          <w:tcPr>
            <w:tcW w:type="dxa" w:w="261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Auditoría</w:t>
            </w:r>
          </w:p>
        </w:tc>
        <w:tc>
          <w:tcPr>
            <w:tcW w:type="dxa" w:w="72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Registro de quién vio, tomó, cotizó, preparó, entregó, exportó o suprimió, con fecha y hora. Retención 24 meses.</w:t>
            </w:r>
          </w:p>
        </w:tc>
      </w:tr>
      <w:tr>
        <w:trPr>
          <w:cantSplit/>
        </w:trPr>
        <w:tc>
          <w:tcPr>
            <w:tcW w:type="dxa" w:w="2615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Registros técnicos</w:t>
            </w:r>
          </w:p>
        </w:tc>
        <w:tc>
          <w:tcPr>
            <w:tcW w:type="dxa" w:w="722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Sin contenido de mensajes ni teléfonos completos (se conservan los últimos 4 dígitos).</w:t>
            </w:r>
          </w:p>
        </w:tc>
      </w:tr>
      <w:tr>
        <w:trPr>
          <w:cantSplit/>
        </w:trPr>
        <w:tc>
          <w:tcPr>
            <w:tcW w:type="dxa" w:w="261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Respaldo</w:t>
            </w:r>
          </w:p>
        </w:tc>
        <w:tc>
          <w:tcPr>
            <w:tcW w:type="dxa" w:w="72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Copias diarias cifradas, retención 30 días, restauración probada trimestralmente.</w:t>
            </w:r>
          </w:p>
        </w:tc>
      </w:tr>
      <w:tr>
        <w:trPr>
          <w:cantSplit/>
        </w:trPr>
        <w:tc>
          <w:tcPr>
            <w:tcW w:type="dxa" w:w="2615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Vulnerabilidades y cambios</w:t>
            </w:r>
          </w:p>
        </w:tc>
        <w:tc>
          <w:tcPr>
            <w:tcW w:type="dxa" w:w="722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Dependencias monitoreadas; parches críticos en 7 días; todo cambio pasa por control de versiones y pruebas; revisión de seguridad previa al go-live y anual.</w:t>
            </w:r>
          </w:p>
        </w:tc>
      </w:tr>
      <w:tr>
        <w:trPr>
          <w:cantSplit/>
        </w:trPr>
        <w:tc>
          <w:tcPr>
            <w:tcW w:type="dxa" w:w="261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Incidentes</w:t>
            </w:r>
          </w:p>
        </w:tc>
        <w:tc>
          <w:tcPr>
            <w:tcW w:type="dxa" w:w="72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Procedimiento documentado; notificación al Cliente dentro de las 72 horas de detectado, con naturaleza, alcance y medidas; simulacro antes del go-live.</w:t>
            </w:r>
          </w:p>
        </w:tc>
      </w:tr>
      <w:tr>
        <w:trPr>
          <w:cantSplit/>
        </w:trPr>
        <w:tc>
          <w:tcPr>
            <w:tcW w:type="dxa" w:w="2615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Entornos</w:t>
            </w:r>
          </w:p>
        </w:tc>
        <w:tc>
          <w:tcPr>
            <w:tcW w:type="dxa" w:w="722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Desarrollo y pruebas separados de producción, sin datos reales de titulares.</w:t>
            </w:r>
          </w:p>
        </w:tc>
      </w:tr>
      <w:tr>
        <w:trPr>
          <w:cantSplit/>
        </w:trPr>
        <w:tc>
          <w:tcPr>
            <w:tcW w:type="dxa" w:w="261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Aislamiento</w:t>
            </w:r>
          </w:p>
        </w:tc>
        <w:tc>
          <w:tcPr>
            <w:tcW w:type="dxa" w:w="722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Cada Cliente en un despliegue propio con base de datos, caché y credenciales separadas.</w:t>
            </w:r>
          </w:p>
        </w:tc>
      </w:tr>
      <w:tr>
        <w:trPr>
          <w:cantSplit/>
        </w:trPr>
        <w:tc>
          <w:tcPr>
            <w:tcW w:type="dxa" w:w="2615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Personal</w:t>
            </w:r>
          </w:p>
        </w:tc>
        <w:tc>
          <w:tcPr>
            <w:tcW w:type="dxa" w:w="722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Acuerdos de confidencialidad, acceso nominal y revocable, capacitación anual.</w:t>
            </w:r>
          </w:p>
        </w:tc>
      </w:tr>
    </w:tbl>
    <w:p>
      <w:pPr>
        <w:pStyle w:val="Heading1"/>
        <w:keepNext/>
        <w:pBdr>
          <w:bottom w:val="single" w:color="FF9900" w:sz="8" w:space="3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FF9900"/>
          <w:sz w:val="40"/>
          <w:szCs w:val="40"/>
        </w:rPr>
        <w:t xml:space="preserve">7. Terceros que intervienen</w:t>
      </w:r>
    </w:p>
    <w:p>
      <w:pPr>
        <w:spacing w:after="140" w:line="264"/>
        <w:jc w:val="both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>Lista cerrada. Cualquier cambio se notifica al Cliente con 30 días de antelación y derecho de objeción.</w:t>
      </w:r>
    </w:p>
    <w:tbl>
      <w:tblPr>
        <w:tblW w:type="dxa" w:w="9835"/>
        <w:tblBorders>
          <w:top w:val="single" w:color="ED7D31" w:sz="6"/>
          <w:left w:val="single" w:color="ED7D31" w:sz="6"/>
          <w:bottom w:val="single" w:color="ED7D31" w:sz="6"/>
          <w:right w:val="single" w:color="ED7D31" w:sz="6"/>
          <w:insideH w:val="single" w:color="ED7D31" w:sz="6"/>
          <w:insideV w:val="single" w:color="ED7D31" w:sz="6"/>
        </w:tblBorders>
      </w:tblPr>
      <w:tblGrid>
        <w:gridCol w:w="2397"/>
        <w:gridCol w:w="2506"/>
        <w:gridCol w:w="3378"/>
        <w:gridCol w:w="1554"/>
      </w:tblGrid>
      <w:tr>
        <w:trPr>
          <w:cantSplit/>
          <w:tblHeader/>
        </w:trPr>
        <w:tc>
          <w:tcPr>
            <w:tcW w:type="dxa" w:w="2397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Tercero</w:t>
            </w:r>
          </w:p>
        </w:tc>
        <w:tc>
          <w:tcPr>
            <w:tcW w:type="dxa" w:w="2506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  <w:tc>
          <w:tcPr>
            <w:tcW w:type="dxa" w:w="3378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Qué recibe</w:t>
            </w:r>
          </w:p>
        </w:tc>
        <w:tc>
          <w:tcPr>
            <w:tcW w:type="dxa" w:w="1554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País</w:t>
            </w:r>
          </w:p>
        </w:tc>
      </w:tr>
      <w:tr>
        <w:trPr>
          <w:cantSplit/>
        </w:trPr>
        <w:tc>
          <w:tcPr>
            <w:tcW w:type="dxa" w:w="239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Meta (WhatsApp Business Platform)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Canal de mensajería</w:t>
            </w:r>
          </w:p>
        </w:tc>
        <w:tc>
          <w:tcPr>
            <w:tcW w:type="dxa" w:w="337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Teléfono, mensajes y archivos</w:t>
            </w:r>
          </w:p>
        </w:tc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EE. UU.</w:t>
            </w:r>
          </w:p>
        </w:tc>
      </w:tr>
      <w:tr>
        <w:trPr>
          <w:cantSplit/>
        </w:trPr>
        <w:tc>
          <w:tcPr>
            <w:tcW w:type="dxa" w:w="2397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Anthropic / OpenAI</w:t>
            </w:r>
          </w:p>
        </w:tc>
        <w:tc>
          <w:tcPr>
            <w:tcW w:type="dxa" w:w="2506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Interpretar mensajes y redactar respuestas; clasificar imágenes</w:t>
            </w:r>
          </w:p>
        </w:tc>
        <w:tc>
          <w:tcPr>
            <w:tcW w:type="dxa" w:w="3378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Últimos turnos de la conversación, nombre y número de socio. Imágenes sólo si el Cliente habilita la lectura de recetas</w:t>
            </w:r>
          </w:p>
        </w:tc>
        <w:tc>
          <w:tcPr>
            <w:tcW w:type="dxa" w:w="1554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EE. UU.</w:t>
            </w:r>
          </w:p>
        </w:tc>
      </w:tr>
      <w:tr>
        <w:trPr>
          <w:cantSplit/>
        </w:trPr>
        <w:tc>
          <w:tcPr>
            <w:tcW w:type="dxa" w:w="239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Groq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Transcribir audios</w:t>
            </w:r>
          </w:p>
        </w:tc>
        <w:tc>
          <w:tcPr>
            <w:tcW w:type="dxa" w:w="337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El audio, sin conservarlo</w:t>
            </w:r>
          </w:p>
        </w:tc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EE. UU.</w:t>
            </w:r>
          </w:p>
        </w:tc>
      </w:tr>
      <w:tr>
        <w:trPr>
          <w:cantSplit/>
        </w:trPr>
        <w:tc>
          <w:tcPr>
            <w:tcW w:type="dxa" w:w="2397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Mercado Pago / Payway</w:t>
            </w:r>
          </w:p>
        </w:tc>
        <w:tc>
          <w:tcPr>
            <w:tcW w:type="dxa" w:w="2506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Cobrar</w:t>
            </w:r>
          </w:p>
        </w:tc>
        <w:tc>
          <w:tcPr>
            <w:tcW w:type="dxa" w:w="3378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Ítem, monto, token de tarjeta generado en el navegador</w:t>
            </w:r>
          </w:p>
        </w:tc>
        <w:tc>
          <w:tcPr>
            <w:tcW w:type="dxa" w:w="1554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Argentina</w:t>
            </w:r>
          </w:p>
        </w:tc>
      </w:tr>
      <w:tr>
        <w:trPr>
          <w:cantSplit/>
        </w:trPr>
        <w:tc>
          <w:tcPr>
            <w:tcW w:type="dxa" w:w="239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Proveedor de nube</w:t>
            </w:r>
          </w:p>
        </w:tc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Alojar el servicio</w:t>
            </w:r>
          </w:p>
        </w:tc>
        <w:tc>
          <w:tcPr>
            <w:tcW w:type="dxa" w:w="337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Todos los datos, cifrados en reposo</w:t>
            </w:r>
          </w:p>
        </w:tc>
        <w:tc>
          <w:tcPr>
            <w:tcW w:type="dxa" w:w="155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EE. UU. o región acordada</w:t>
            </w:r>
          </w:p>
        </w:tc>
      </w:tr>
    </w:tbl>
    <w:p>
      <w:pPr>
        <w:spacing w:after="60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/>
      </w:r>
    </w:p>
    <w:p>
      <w:pPr>
        <w:spacing w:after="140" w:line="264"/>
        <w:jc w:val="both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>Con todos ellos: contrato o términos que prohíben usar los datos para fines propios o entrenamiento de modelos, y cláusulas de transferencia internacional según la Disposición 60-E/2016.</w:t>
      </w:r>
    </w:p>
    <w:p>
      <w:pPr>
        <w:pStyle w:val="Heading1"/>
        <w:keepNext/>
        <w:pBdr>
          <w:bottom w:val="single" w:color="FF9900" w:sz="8" w:space="3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FF9900"/>
          <w:sz w:val="40"/>
          <w:szCs w:val="40"/>
        </w:rPr>
        <w:t xml:space="preserve">8. Cuándo se cumple cada cosa</w:t>
      </w:r>
    </w:p>
    <w:p>
      <w:pPr>
        <w:spacing w:after="140" w:line="264"/>
        <w:jc w:val="both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>Los compromisos se completan durante la implementación y se verifican en el acta de aceptación. Ninguno queda para después del inicio en producción.</w:t>
      </w:r>
    </w:p>
    <w:tbl>
      <w:tblPr>
        <w:tblW w:type="dxa" w:w="9835"/>
        <w:tblBorders>
          <w:top w:val="single" w:color="ED7D31" w:sz="6"/>
          <w:left w:val="single" w:color="ED7D31" w:sz="6"/>
          <w:bottom w:val="single" w:color="ED7D31" w:sz="6"/>
          <w:right w:val="single" w:color="ED7D31" w:sz="6"/>
          <w:insideH w:val="single" w:color="ED7D31" w:sz="6"/>
          <w:insideV w:val="single" w:color="ED7D31" w:sz="6"/>
        </w:tblBorders>
      </w:tblPr>
      <w:tblGrid>
        <w:gridCol w:w="1961"/>
        <w:gridCol w:w="7874"/>
      </w:tblGrid>
      <w:tr>
        <w:trPr>
          <w:cantSplit/>
          <w:tblHeader/>
        </w:trPr>
        <w:tc>
          <w:tcPr>
            <w:tcW w:type="dxa" w:w="1961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7874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Compromisos que quedan cumplidos</w:t>
            </w:r>
          </w:p>
        </w:tc>
      </w:tr>
      <w:tr>
        <w:trPr>
          <w:cantSplit/>
        </w:trPr>
        <w:tc>
          <w:tcPr>
            <w:tcW w:type="dxa" w:w="196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Semana 1</w:t>
            </w:r>
          </w:p>
        </w:tc>
        <w:tc>
          <w:tcPr>
            <w:tcW w:type="dxa" w:w="787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Contrato de encargo firmado; lista de subencargados aprobada; política de retención definida; descripción técnica para la inscripción ante la AAIP entregada; acuerdos de confidencialidad.</w:t>
            </w:r>
          </w:p>
        </w:tc>
      </w:tr>
      <w:tr>
        <w:trPr>
          <w:cantSplit/>
        </w:trPr>
        <w:tc>
          <w:tcPr>
            <w:tcW w:type="dxa" w:w="1961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Semana 2</w:t>
            </w:r>
          </w:p>
        </w:tc>
        <w:tc>
          <w:tcPr>
            <w:tcW w:type="dxa" w:w="7874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Aviso de privacidad y palabra BAJA operativos; usuarios y roles del panel; registro de auditoría.</w:t>
            </w:r>
          </w:p>
        </w:tc>
      </w:tr>
      <w:tr>
        <w:trPr>
          <w:cantSplit/>
        </w:trPr>
        <w:tc>
          <w:tcPr>
            <w:tcW w:type="dxa" w:w="196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Semana 3</w:t>
            </w:r>
          </w:p>
        </w:tc>
        <w:tc>
          <w:tcPr>
            <w:tcW w:type="dxa" w:w="787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Cifrado en reposo de imágenes y padrón; depuración automática del historial; acción de supresión y exportación por titular; revisión de seguridad.</w:t>
            </w:r>
          </w:p>
        </w:tc>
      </w:tr>
      <w:tr>
        <w:trPr>
          <w:cantSplit/>
        </w:trPr>
        <w:tc>
          <w:tcPr>
            <w:tcW w:type="dxa" w:w="1961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Semana 4</w:t>
            </w:r>
          </w:p>
        </w:tc>
        <w:tc>
          <w:tcPr>
            <w:tcW w:type="dxa" w:w="7874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Pruebas de ejercicio de derechos con datos sintéticos; simulacro de incidente; capacitación de operadores.</w:t>
            </w:r>
          </w:p>
        </w:tc>
      </w:tr>
      <w:tr>
        <w:trPr>
          <w:cantSplit/>
        </w:trPr>
        <w:tc>
          <w:tcPr>
            <w:tcW w:type="dxa" w:w="1961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Go-live</w:t>
            </w:r>
          </w:p>
        </w:tc>
        <w:tc>
          <w:tcPr>
            <w:tcW w:type="dxa" w:w="787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Acta de aceptación con el checklist de 20 controles firmado por ambas partes.</w:t>
            </w:r>
          </w:p>
        </w:tc>
      </w:tr>
      <w:tr>
        <w:trPr>
          <w:cantSplit/>
        </w:trPr>
        <w:tc>
          <w:tcPr>
            <w:tcW w:type="dxa" w:w="1961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Continuo</w:t>
            </w:r>
          </w:p>
        </w:tc>
        <w:tc>
          <w:tcPr>
            <w:tcW w:type="dxa" w:w="7874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Revisión anual de medidas y subencargados; restauración trimestral; notificación de incidentes en 72 h; asistencia al Cliente en 48 h hábiles.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F9900" w:sz="8" w:space="3"/>
        </w:pBdr>
        <w:spacing w:after="200" w:before="360"/>
      </w:pPr>
      <w:r>
        <w:rPr>
          <w:rFonts w:ascii="Trebuchet MS" w:cs="Trebuchet MS" w:eastAsia="Trebuchet MS" w:hAnsi="Trebuchet MS"/>
          <w:b/>
          <w:bCs/>
          <w:color w:val="FF9900"/>
          <w:sz w:val="40"/>
          <w:szCs w:val="40"/>
        </w:rPr>
        <w:t xml:space="preserve">9. Firmas</w:t>
      </w:r>
    </w:p>
    <w:p>
      <w:pPr>
        <w:spacing w:after="140" w:line="264"/>
        <w:jc w:val="both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>Las partes suscriben la presente declaración como parte integrante de la propuesta de implementación de Remedia. Los compromisos aquí enunciados se incorporan al contrato de servicio y al contrato de encargo de tratamiento.</w:t>
      </w:r>
    </w:p>
    <w:p>
      <w:pPr>
        <w:spacing w:after="60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Trebuchet MS" w:cs="Trebuchet MS" w:eastAsia="Trebuchet MS" w:hAnsi="Trebuchet MS"/>
          <w:color w:val="000000"/>
          <w:sz w:val="22"/>
          <w:szCs w:val="22"/>
        </w:rPr>
        <w:t xml:space="preserve"/>
      </w:r>
    </w:p>
    <w:tbl>
      <w:tblPr>
        <w:tblW w:type="dxa" w:w="9836"/>
        <w:tblBorders>
          <w:top w:val="single" w:color="ED7D31" w:sz="6"/>
          <w:left w:val="single" w:color="ED7D31" w:sz="6"/>
          <w:bottom w:val="single" w:color="ED7D31" w:sz="6"/>
          <w:right w:val="single" w:color="ED7D31" w:sz="6"/>
          <w:insideH w:val="single" w:color="ED7D31" w:sz="6"/>
          <w:insideV w:val="single" w:color="ED7D31" w:sz="6"/>
        </w:tblBorders>
      </w:tblPr>
      <w:tblGrid>
        <w:gridCol w:w="4918"/>
        <w:gridCol w:w="4918"/>
      </w:tblGrid>
      <w:tr>
        <w:trPr>
          <w:cantSplit/>
          <w:tblHeader/>
        </w:trPr>
        <w:tc>
          <w:tcPr>
            <w:tcW w:type="dxa" w:w="4918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Por Keep IT Simple</w:t>
            </w:r>
          </w:p>
        </w:tc>
        <w:tc>
          <w:tcPr>
            <w:tcW w:type="dxa" w:w="4918"/>
            <w:shd w:fill="ED7D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8"/>
                <w:szCs w:val="18"/>
              </w:rPr>
              <w:t xml:space="preserve">Por [CLIENTE]</w:t>
            </w:r>
          </w:p>
        </w:tc>
      </w:tr>
      <w:tr>
        <w:trPr>
          <w:cantSplit/>
        </w:trPr>
        <w:tc>
          <w:tcPr>
            <w:tcW w:type="dxa" w:w="491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</w:p>
          <w:p>
            <w:pPr>
              <w:spacing w:after="40" w:line="252"/>
              <w:jc w:val="left"/>
            </w:pPr>
          </w:p>
          <w:p>
            <w:pPr>
              <w:spacing w:after="40" w:line="252"/>
              <w:jc w:val="left"/>
            </w:pPr>
          </w:p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Firma: ______________________________</w:t>
            </w:r>
          </w:p>
          <w:p>
            <w:pPr>
              <w:spacing w:after="40" w:line="252"/>
              <w:jc w:val="left"/>
            </w:pPr>
          </w:p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Aclaración: __________________________</w:t>
            </w:r>
          </w:p>
          <w:p>
            <w:pPr>
              <w:spacing w:after="40" w:line="252"/>
              <w:jc w:val="left"/>
            </w:pPr>
          </w:p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Cargo: ______________________________</w:t>
            </w:r>
          </w:p>
          <w:p>
            <w:pPr>
              <w:spacing w:after="40" w:line="252"/>
              <w:jc w:val="left"/>
            </w:pPr>
          </w:p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Fecha: ____ / ____ / ________</w:t>
            </w:r>
          </w:p>
        </w:tc>
        <w:tc>
          <w:tcPr>
            <w:tcW w:type="dxa" w:w="491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</w:p>
          <w:p>
            <w:pPr>
              <w:spacing w:after="40" w:line="252"/>
              <w:jc w:val="left"/>
            </w:pPr>
          </w:p>
          <w:p>
            <w:pPr>
              <w:spacing w:after="40" w:line="252"/>
              <w:jc w:val="left"/>
            </w:pPr>
          </w:p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Firma: ______________________________</w:t>
            </w:r>
          </w:p>
          <w:p>
            <w:pPr>
              <w:spacing w:after="40" w:line="252"/>
              <w:jc w:val="left"/>
            </w:pPr>
          </w:p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Aclaración: __________________________</w:t>
            </w:r>
          </w:p>
          <w:p>
            <w:pPr>
              <w:spacing w:after="40" w:line="252"/>
              <w:jc w:val="left"/>
            </w:pPr>
          </w:p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Cargo: ______________________________</w:t>
            </w:r>
          </w:p>
          <w:p>
            <w:pPr>
              <w:spacing w:after="40" w:line="252"/>
              <w:jc w:val="left"/>
            </w:pPr>
          </w:p>
          <w:p>
            <w:pPr>
              <w:spacing w:after="40" w:line="252"/>
              <w:jc w:val="left"/>
            </w:pPr>
            <w:r>
              <w:rPr>
                <w:rFonts w:ascii="Trebuchet MS" w:cs="Trebuchet MS" w:eastAsia="Trebuchet MS" w:hAnsi="Trebuchet MS"/>
                <w:color w:val="000000"/>
                <w:sz w:val="18"/>
                <w:szCs w:val="18"/>
              </w:rPr>
              <w:t xml:space="preserve">Fecha: ____ / ____ / ________</w:t>
            </w:r>
          </w:p>
        </w:tc>
      </w:tr>
    </w:tbl>
    <w:sectPr>
      <w:headerReference w:type="default" r:id="rId9"/>
      <w:footerReference w:type="default" r:id="rId10"/>
      <w:pgSz w:w="11907" w:h="16839" w:orient="portrait"/>
      <w:pgMar w:top="1440" w:right="992" w:bottom="1150" w:left="1080" w:header="56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  <w:r>
      <w:drawing>
        <wp:anchor distT="0" distB="0" distL="0" distR="0" simplePos="0" allowOverlap="1" behindDoc="1" locked="0" layoutInCell="1" relativeHeight="2324100">
          <wp:simplePos x="0" y="0"/>
          <wp:positionH relativeFrom="page">
            <wp:posOffset>-1325880</wp:posOffset>
          </wp:positionH>
          <wp:positionV relativeFrom="page">
            <wp:posOffset>8778240</wp:posOffset>
          </wp:positionV>
          <wp:extent cx="2190750" cy="23241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232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1907"/>
      <w:tblInd w:type="dxa" w:w="-1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000"/>
      <w:gridCol w:w="8907"/>
    </w:tblGrid>
    <w:tr>
      <w:trPr>
        <w:trHeight w:val="520" w:hRule="exact"/>
      </w:trPr>
      <w:tc>
        <w:tcPr>
          <w:tcW w:type="dxa" w:w="3000"/>
          <w:shd w:fill="7F7F7F" w:color="auto" w:val="clear"/>
          <w:tcMar>
            <w:top w:type="dxa" w:w="40"/>
            <w:left w:type="dxa" w:w="1500"/>
            <w:bottom w:type="dxa" w:w="40"/>
          </w:tcMar>
          <w:vAlign w:val="center"/>
        </w:tcPr>
        <w:p>
          <w:pPr>
            <w:spacing w:after="0"/>
          </w:pP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t xml:space="preserve">Página </w:t>
          </w: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t xml:space="preserve"> de </w:t>
          </w: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8907"/>
          <w:shd w:fill="7F7F7F" w:color="auto" w:val="clear"/>
          <w:tcMar>
            <w:top w:type="dxa" w:w="40"/>
            <w:bottom w:type="dxa" w:w="40"/>
            <w:right w:type="dxa" w:w="300"/>
          </w:tcMar>
          <w:vAlign w:val="center"/>
        </w:tcPr>
        <w:p>
          <w:pPr>
            <w:spacing w:after="0"/>
            <w:jc w:val="right"/>
          </w:pP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t xml:space="preserve">www.keepitsimple.com.ar  |  contacto@keepitsimple.com.ar</w:t>
          </w:r>
        </w:p>
        <w:p>
          <w:pPr>
            <w:spacing w:after="0"/>
            <w:jc w:val="right"/>
          </w:pPr>
          <w:r>
            <w:rPr>
              <w:rFonts w:ascii="Trebuchet MS" w:cs="Trebuchet MS" w:eastAsia="Trebuchet MS" w:hAnsi="Trebuchet MS"/>
              <w:color w:val="FFFFFF"/>
              <w:sz w:val="15"/>
              <w:szCs w:val="15"/>
            </w:rPr>
            <w:t xml:space="preserve">Av. Luis Cándido Carballo 183 Piso 3 Of. 3  |  Rosario  |  Santa Fe  |  Argentina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F7F7F" w:sz="24" w:space="6"/>
      </w:pBdr>
      <w:spacing w:after="80"/>
      <w:jc w:val="right"/>
    </w:pPr>
    <w:r>
      <w:drawing>
        <wp:inline distT="0" distB="0" distL="0" distR="0">
          <wp:extent cx="1428750" cy="4476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Trebuchet MS" w:cs="Trebuchet MS" w:eastAsia="Trebuchet MS" w:hAnsi="Trebuchet MS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Trebuchet MS" w:cs="Trebuchet MS" w:eastAsia="Trebuchet MS" w:hAnsi="Trebuchet MS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rebuchet MS" w:cs="Trebuchet MS" w:eastAsia="Trebuchet MS" w:hAnsi="Trebuchet MS"/>
      <w:b/>
      <w:bCs/>
      <w:color w:val="FF99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Trebuchet MS" w:cs="Trebuchet MS" w:eastAsia="Trebuchet MS" w:hAnsi="Trebuchet MS"/>
      <w:b/>
      <w:bCs/>
      <w:color w:val="FF99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rebuchet MS" w:cs="Trebuchet MS" w:eastAsia="Trebuchet MS" w:hAnsi="Trebuchet MS"/>
      <w:b/>
      <w:bCs/>
      <w:color w:val="595959"/>
      <w:sz w:val="23"/>
      <w:szCs w:val="23"/>
    </w:rPr>
  </w:style>
  <w:style w:type="paragraph" w:styleId="TOC1">
    <w:name w:val="toc 1"/>
    <w:basedOn w:val="Normal"/>
    <w:next w:val="Normal"/>
    <w:pPr>
      <w:spacing w:after="70"/>
    </w:pPr>
    <w:rPr>
      <w:rFonts w:ascii="Trebuchet MS" w:cs="Trebuchet MS" w:eastAsia="Trebuchet MS" w:hAnsi="Trebuchet MS"/>
      <w:color w:val="000000"/>
      <w:sz w:val="21"/>
      <w:szCs w:val="21"/>
    </w:rPr>
  </w:style>
  <w:style w:type="paragraph" w:styleId="TOC2">
    <w:name w:val="toc 2"/>
    <w:basedOn w:val="Normal"/>
    <w:next w:val="Normal"/>
    <w:pPr>
      <w:spacing w:after="50"/>
      <w:ind w:left="360"/>
    </w:pPr>
    <w:rPr>
      <w:rFonts w:ascii="Trebuchet MS" w:cs="Trebuchet MS" w:eastAsia="Trebuchet MS" w:hAnsi="Trebuchet MS"/>
      <w:color w:val="595959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3ee01e5788df32a1d615251e9c86448173a02c6d.png"/><Relationship Id="rId12" Type="http://schemas.openxmlformats.org/officeDocument/2006/relationships/image" Target="media/aca1fee74e0c10ffa0294bf10c2808ed74c7a8c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aca1fee74e0c10ffa0294bf10c2808ed74c7a8cf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3ee01e5788df32a1d615251e9c86448173a02c6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Compromisos de cumplimiento — Datos personales — Remedia</dc:title>
  <dc:creator>Keep IT Simple</dc:creator>
  <cp:lastModifiedBy>Un-named</cp:lastModifiedBy>
  <cp:revision>1</cp:revision>
  <dcterms:created xsi:type="dcterms:W3CDTF">2026-09-11T11:37:02.890Z</dcterms:created>
  <dcterms:modified xsi:type="dcterms:W3CDTF">2026-09-11T11:37:02.891Z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