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0A" w:rsidRDefault="00B1260A" w:rsidP="00B1260A">
      <w:pPr>
        <w:pStyle w:val="Sansinterligne"/>
      </w:pPr>
    </w:p>
    <w:p w:rsidR="00B1260A" w:rsidRDefault="00B1260A" w:rsidP="00B1260A">
      <w:pPr>
        <w:pStyle w:val="Sansinterligne"/>
      </w:pPr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294890" cy="2294890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29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260A" w:rsidRDefault="00B1260A" w:rsidP="00B1260A">
      <w:pPr>
        <w:pStyle w:val="Sansinterligne"/>
      </w:pPr>
    </w:p>
    <w:p w:rsidR="00B1260A" w:rsidRDefault="00B1260A" w:rsidP="00B1260A">
      <w:pPr>
        <w:pStyle w:val="Sansinterligne"/>
      </w:pPr>
    </w:p>
    <w:p w:rsidR="00B1260A" w:rsidRDefault="00B1260A" w:rsidP="00B1260A">
      <w:pPr>
        <w:pStyle w:val="Sansinterligne"/>
      </w:pPr>
    </w:p>
    <w:p w:rsidR="00B1260A" w:rsidRDefault="00B1260A" w:rsidP="00B1260A">
      <w:pPr>
        <w:pStyle w:val="Sansinterligne"/>
      </w:pPr>
    </w:p>
    <w:p w:rsidR="00B1260A" w:rsidRDefault="00B1260A" w:rsidP="00B1260A">
      <w:pPr>
        <w:pStyle w:val="Sansinterligne"/>
      </w:pPr>
    </w:p>
    <w:p w:rsidR="00B1260A" w:rsidRDefault="00B1260A" w:rsidP="00B1260A">
      <w:pPr>
        <w:pStyle w:val="Sansinterligne"/>
        <w:jc w:val="center"/>
        <w:rPr>
          <w:b/>
          <w:bCs/>
        </w:rPr>
      </w:pPr>
      <w:r>
        <w:rPr>
          <w:b/>
          <w:bCs/>
        </w:rPr>
        <w:t>PHS4700</w:t>
      </w:r>
    </w:p>
    <w:p w:rsidR="00B1260A" w:rsidRPr="000763FA" w:rsidRDefault="00B1260A" w:rsidP="00B1260A">
      <w:pPr>
        <w:pStyle w:val="Sansinterligne"/>
        <w:jc w:val="center"/>
        <w:rPr>
          <w:b/>
          <w:bCs/>
          <w:szCs w:val="24"/>
        </w:rPr>
      </w:pPr>
      <w:r>
        <w:rPr>
          <w:b/>
          <w:bCs/>
          <w:szCs w:val="24"/>
        </w:rPr>
        <w:t>Devoir #1</w:t>
      </w:r>
    </w:p>
    <w:p w:rsidR="00B1260A" w:rsidRPr="008D1CA7" w:rsidRDefault="00B1260A" w:rsidP="00B1260A">
      <w:pPr>
        <w:pStyle w:val="Sansinterligne"/>
        <w:jc w:val="center"/>
        <w:rPr>
          <w:b/>
          <w:bCs/>
          <w:lang w:val="fr-CA"/>
        </w:rPr>
      </w:pPr>
      <w:r>
        <w:rPr>
          <w:b/>
          <w:bCs/>
          <w:lang w:val="fr-CA"/>
        </w:rPr>
        <w:t>Trajectoire d’une balle au tennis</w:t>
      </w:r>
    </w:p>
    <w:p w:rsidR="00B1260A" w:rsidRDefault="00B1260A" w:rsidP="00B1260A">
      <w:pPr>
        <w:pStyle w:val="Sansinterligne"/>
        <w:jc w:val="center"/>
        <w:rPr>
          <w:b/>
          <w:bCs/>
          <w:lang w:val="fr-CA"/>
        </w:rPr>
      </w:pPr>
      <w:r>
        <w:rPr>
          <w:b/>
          <w:bCs/>
        </w:rPr>
        <w:t xml:space="preserve">Présenté à M. </w:t>
      </w:r>
      <w:r>
        <w:rPr>
          <w:b/>
          <w:bCs/>
          <w:lang w:val="fr-CA"/>
        </w:rPr>
        <w:t xml:space="preserve">Guy </w:t>
      </w:r>
      <w:proofErr w:type="spellStart"/>
      <w:r>
        <w:rPr>
          <w:b/>
          <w:bCs/>
          <w:lang w:val="fr-CA"/>
        </w:rPr>
        <w:t>Marleau</w:t>
      </w:r>
      <w:proofErr w:type="spellEnd"/>
    </w:p>
    <w:p w:rsidR="00B1260A" w:rsidRDefault="00B1260A" w:rsidP="00B1260A">
      <w:pPr>
        <w:pStyle w:val="Sansinterligne"/>
        <w:jc w:val="center"/>
        <w:rPr>
          <w:b/>
          <w:bCs/>
          <w:lang w:val="fr-CA"/>
        </w:rPr>
      </w:pPr>
    </w:p>
    <w:p w:rsidR="00B1260A" w:rsidRDefault="00B1260A" w:rsidP="00B1260A">
      <w:pPr>
        <w:pStyle w:val="Sansinterligne"/>
        <w:jc w:val="center"/>
        <w:rPr>
          <w:b/>
          <w:bCs/>
          <w:lang w:val="fr-CA"/>
        </w:rPr>
      </w:pPr>
    </w:p>
    <w:p w:rsidR="00B1260A" w:rsidRDefault="00B1260A" w:rsidP="00B1260A">
      <w:pPr>
        <w:pStyle w:val="Sansinterligne"/>
        <w:jc w:val="center"/>
        <w:rPr>
          <w:b/>
          <w:bCs/>
          <w:lang w:val="fr-CA"/>
        </w:rPr>
      </w:pPr>
    </w:p>
    <w:p w:rsidR="00B1260A" w:rsidRDefault="00B1260A" w:rsidP="00B1260A">
      <w:pPr>
        <w:pStyle w:val="Sansinterligne"/>
        <w:jc w:val="center"/>
        <w:rPr>
          <w:b/>
          <w:bCs/>
          <w:lang w:val="fr-CA"/>
        </w:rPr>
      </w:pPr>
    </w:p>
    <w:p w:rsidR="00B1260A" w:rsidRDefault="00B1260A" w:rsidP="00B1260A">
      <w:pPr>
        <w:pStyle w:val="Sansinterligne"/>
        <w:jc w:val="center"/>
        <w:rPr>
          <w:b/>
          <w:bCs/>
          <w:lang w:val="fr-CA"/>
        </w:rPr>
      </w:pPr>
    </w:p>
    <w:p w:rsidR="00B1260A" w:rsidRDefault="00B1260A" w:rsidP="00B1260A">
      <w:pPr>
        <w:pStyle w:val="Sansinterligne"/>
        <w:jc w:val="center"/>
        <w:rPr>
          <w:b/>
          <w:bCs/>
          <w:lang w:val="fr-CA"/>
        </w:rPr>
      </w:pPr>
    </w:p>
    <w:p w:rsidR="00B1260A" w:rsidRDefault="00B1260A" w:rsidP="00B1260A">
      <w:pPr>
        <w:pStyle w:val="Sansinterligne"/>
        <w:jc w:val="center"/>
        <w:rPr>
          <w:sz w:val="22"/>
        </w:rPr>
      </w:pPr>
    </w:p>
    <w:p w:rsidR="00B1260A" w:rsidRDefault="00B1260A" w:rsidP="00B1260A">
      <w:pPr>
        <w:pStyle w:val="Sansinterligne"/>
        <w:jc w:val="center"/>
        <w:rPr>
          <w:sz w:val="22"/>
        </w:rPr>
      </w:pPr>
      <w:r>
        <w:rPr>
          <w:sz w:val="22"/>
        </w:rPr>
        <w:t>Matthieu Ouellette-Vachon – 1325531</w:t>
      </w:r>
    </w:p>
    <w:p w:rsidR="00B1260A" w:rsidRDefault="00B1260A" w:rsidP="00B1260A">
      <w:pPr>
        <w:pStyle w:val="Sansinterligne"/>
        <w:jc w:val="center"/>
      </w:pPr>
    </w:p>
    <w:p w:rsidR="00B1260A" w:rsidRDefault="00B1260A" w:rsidP="00B1260A">
      <w:pPr>
        <w:pStyle w:val="Sansinterligne"/>
        <w:jc w:val="center"/>
      </w:pPr>
    </w:p>
    <w:p w:rsidR="00B1260A" w:rsidRDefault="00B1260A" w:rsidP="00B1260A">
      <w:pPr>
        <w:pStyle w:val="Sansinterligne"/>
        <w:jc w:val="center"/>
      </w:pPr>
    </w:p>
    <w:p w:rsidR="00B1260A" w:rsidRDefault="00B1260A" w:rsidP="00B1260A">
      <w:pPr>
        <w:pStyle w:val="Sansinterligne"/>
        <w:jc w:val="center"/>
      </w:pPr>
    </w:p>
    <w:p w:rsidR="00B1260A" w:rsidRDefault="00B1260A" w:rsidP="00B1260A">
      <w:pPr>
        <w:pStyle w:val="Sansinterligne"/>
        <w:jc w:val="center"/>
      </w:pPr>
    </w:p>
    <w:p w:rsidR="00B1260A" w:rsidRDefault="00B1260A" w:rsidP="00B1260A">
      <w:pPr>
        <w:pStyle w:val="Sansinterligne"/>
        <w:jc w:val="center"/>
      </w:pPr>
    </w:p>
    <w:p w:rsidR="00B1260A" w:rsidRDefault="00B1260A" w:rsidP="00B1260A">
      <w:pPr>
        <w:pStyle w:val="Sansinterligne"/>
        <w:jc w:val="center"/>
      </w:pPr>
    </w:p>
    <w:p w:rsidR="00B1260A" w:rsidRDefault="00B1260A" w:rsidP="00B1260A">
      <w:pPr>
        <w:pStyle w:val="Sansinterligne"/>
        <w:jc w:val="center"/>
      </w:pPr>
    </w:p>
    <w:p w:rsidR="00B1260A" w:rsidRDefault="00B1260A" w:rsidP="00B1260A">
      <w:pPr>
        <w:pStyle w:val="Sansinterligne"/>
        <w:jc w:val="center"/>
      </w:pPr>
    </w:p>
    <w:p w:rsidR="00B1260A" w:rsidRDefault="00B1260A" w:rsidP="00B1260A">
      <w:pPr>
        <w:pStyle w:val="Sansinterligne"/>
        <w:jc w:val="center"/>
        <w:rPr>
          <w:sz w:val="16"/>
          <w:szCs w:val="16"/>
        </w:rPr>
      </w:pPr>
    </w:p>
    <w:p w:rsidR="00B1260A" w:rsidRDefault="00B1260A" w:rsidP="00B1260A">
      <w:pPr>
        <w:pStyle w:val="Sansinterligne"/>
        <w:jc w:val="center"/>
        <w:rPr>
          <w:sz w:val="16"/>
          <w:szCs w:val="16"/>
        </w:rPr>
      </w:pPr>
    </w:p>
    <w:p w:rsidR="00B1260A" w:rsidRPr="00B1260A" w:rsidRDefault="00B1260A" w:rsidP="00B1260A">
      <w:pPr>
        <w:pStyle w:val="Sansinterligne"/>
        <w:jc w:val="center"/>
        <w:rPr>
          <w:sz w:val="16"/>
          <w:szCs w:val="16"/>
        </w:rPr>
      </w:pPr>
      <w:r>
        <w:rPr>
          <w:sz w:val="16"/>
          <w:szCs w:val="16"/>
        </w:rPr>
        <w:t>22 Septembre 2009</w:t>
      </w:r>
      <w:r>
        <w:rPr>
          <w:lang w:val="en-US"/>
        </w:rPr>
        <w:br w:type="page"/>
      </w:r>
    </w:p>
    <w:p w:rsidR="00D829C6" w:rsidRDefault="00DC2D1F" w:rsidP="00DC2D1F">
      <w:pPr>
        <w:pStyle w:val="Titre"/>
        <w:rPr>
          <w:lang w:val="en-US"/>
        </w:rPr>
      </w:pPr>
      <w:r>
        <w:rPr>
          <w:lang w:val="en-US"/>
        </w:rPr>
        <w:lastRenderedPageBreak/>
        <w:t>Introduction</w:t>
      </w:r>
    </w:p>
    <w:p w:rsidR="00DC2D1F" w:rsidRDefault="00DC2D1F" w:rsidP="00DC2D1F">
      <w:pPr>
        <w:rPr>
          <w:lang w:val="fr-FR"/>
        </w:rPr>
      </w:pPr>
      <w:r w:rsidRPr="00DC2D1F">
        <w:rPr>
          <w:lang w:val="fr-FR"/>
        </w:rPr>
        <w:t>Ce document est pr</w:t>
      </w:r>
      <w:r>
        <w:rPr>
          <w:lang w:val="fr-FR"/>
        </w:rPr>
        <w:t xml:space="preserve">oduit dans le cadre du devoir #1 du cours « Physiques pour les applications multimédia ». Le but de ce laboratoire est de faire une simulation par ordinateur d’une balle de tennis à l’aide de deux types d’accélérations différentes. La simulation </w:t>
      </w:r>
      <w:r w:rsidR="00AB6018">
        <w:rPr>
          <w:lang w:val="fr-FR"/>
        </w:rPr>
        <w:t>a</w:t>
      </w:r>
      <w:r>
        <w:rPr>
          <w:lang w:val="fr-FR"/>
        </w:rPr>
        <w:t xml:space="preserve"> lieu à l’intérieur d’un terrain de jeu délimité au centre par un filet. Deux zones sont </w:t>
      </w:r>
      <w:r w:rsidR="00AB6018">
        <w:rPr>
          <w:lang w:val="fr-FR"/>
        </w:rPr>
        <w:t>visibles, celle du joueur (</w:t>
      </w:r>
      <w:r>
        <w:rPr>
          <w:lang w:val="fr-FR"/>
        </w:rPr>
        <w:t>aussi appeler Zone #1) et celle de l’adversaire (Zone #2). La première simulation utilise une accélération constante qui est en fait la constante de gravité de la terre soit 9.8 m/s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vers le bas</w:t>
      </w:r>
      <w:r w:rsidR="00AB6018">
        <w:rPr>
          <w:lang w:val="fr-FR"/>
        </w:rPr>
        <w:t xml:space="preserve"> en z</w:t>
      </w:r>
      <w:r>
        <w:rPr>
          <w:lang w:val="fr-FR"/>
        </w:rPr>
        <w:t xml:space="preserve">. La deuxième simulation quant à elle utilise une accélération qui varie en fonction de la vitesse de la balle. Le programme à réaliser lit en entrée le type de simulation (1 ou 2) puis la position initiale de la balle </w:t>
      </w:r>
      <w:r w:rsidR="00AB6018">
        <w:rPr>
          <w:lang w:val="fr-FR"/>
        </w:rPr>
        <w:t>et</w:t>
      </w:r>
      <w:r>
        <w:rPr>
          <w:lang w:val="fr-FR"/>
        </w:rPr>
        <w:t xml:space="preserve"> </w:t>
      </w:r>
      <w:r w:rsidR="00AB6018">
        <w:rPr>
          <w:lang w:val="fr-FR"/>
        </w:rPr>
        <w:t>ensuite</w:t>
      </w:r>
      <w:r>
        <w:rPr>
          <w:lang w:val="fr-FR"/>
        </w:rPr>
        <w:t xml:space="preserve"> lit la vitesse initiale de la balle et démarre la simulation. La position initiale doit se trouver dans la zone du joueur</w:t>
      </w:r>
      <w:r w:rsidR="00AB6018">
        <w:rPr>
          <w:lang w:val="fr-FR"/>
        </w:rPr>
        <w:t xml:space="preserve"> (Zone #1)</w:t>
      </w:r>
      <w:r>
        <w:rPr>
          <w:lang w:val="fr-FR"/>
        </w:rPr>
        <w:t xml:space="preserve"> </w:t>
      </w:r>
      <w:r w:rsidR="00AB6018">
        <w:rPr>
          <w:lang w:val="fr-FR"/>
        </w:rPr>
        <w:t>mais</w:t>
      </w:r>
      <w:r>
        <w:rPr>
          <w:lang w:val="fr-FR"/>
        </w:rPr>
        <w:t xml:space="preserve"> il n’existe pas de contrainte au niveau de la vitesse initiale. </w:t>
      </w:r>
    </w:p>
    <w:p w:rsidR="00DC2D1F" w:rsidRDefault="00DC2D1F" w:rsidP="00DC2D1F">
      <w:pPr>
        <w:pStyle w:val="Titre"/>
      </w:pPr>
      <w:r>
        <w:t>Problème</w:t>
      </w:r>
    </w:p>
    <w:p w:rsidR="00DC2D1F" w:rsidRDefault="00DC2D1F" w:rsidP="00DC2D1F">
      <w:r>
        <w:t>Le problème du devoir consiste à résoudre les équations de mouvements afin de réaliser une simulation réaliste au point de vue physique. Il y a quatre équations</w:t>
      </w:r>
      <w:r w:rsidR="007E366F">
        <w:t xml:space="preserve"> différentielles</w:t>
      </w:r>
      <w:r>
        <w:t xml:space="preserve"> à résoudre, deux pour la simulation #1 et deux autres pour la simulation #2</w:t>
      </w:r>
    </w:p>
    <w:p w:rsidR="00DC2D1F" w:rsidRDefault="00DC2D1F" w:rsidP="00DC2D1F">
      <w:pPr>
        <w:pStyle w:val="Titre2"/>
      </w:pPr>
      <w:r>
        <w:t>Simulation #1</w:t>
      </w:r>
    </w:p>
    <w:p w:rsidR="00DC2D1F" w:rsidRDefault="007E366F" w:rsidP="00DC2D1F">
      <w:r>
        <w:t>Pour cette simulation, le programme</w:t>
      </w:r>
      <w:r w:rsidR="00AB6018">
        <w:t xml:space="preserve"> informatique</w:t>
      </w:r>
      <w:r>
        <w:t xml:space="preserve"> utilise une méthode analytique pour faire la simulation.  </w:t>
      </w:r>
      <w:r w:rsidR="005676DE">
        <w:t>Voici comment est obtenue la solution analytique :</w:t>
      </w:r>
    </w:p>
    <w:p w:rsidR="005676DE" w:rsidRPr="00123B19" w:rsidRDefault="002321D0" w:rsidP="00DC2D1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=g</m:t>
          </m:r>
        </m:oMath>
      </m:oMathPara>
    </w:p>
    <w:p w:rsidR="00123B19" w:rsidRPr="00123B19" w:rsidRDefault="002321D0" w:rsidP="00DC2D1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=v(t)</m:t>
          </m:r>
        </m:oMath>
      </m:oMathPara>
    </w:p>
    <w:p w:rsidR="007E366F" w:rsidRDefault="0086586C" w:rsidP="00DC2D1F">
      <w:r>
        <w:t>Or comme g est constant, on a alors :</w:t>
      </w:r>
    </w:p>
    <w:p w:rsidR="0086586C" w:rsidRPr="00B86885" w:rsidRDefault="0086586C" w:rsidP="00DC2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 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B86885" w:rsidRDefault="00B86885" w:rsidP="00DC2D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 gt</m:t>
          </m:r>
        </m:oMath>
      </m:oMathPara>
    </w:p>
    <w:p w:rsidR="00B86885" w:rsidRDefault="00B86885" w:rsidP="00DC2D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gt </m:t>
              </m:r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) 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gt </m:t>
              </m:r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B86885" w:rsidRDefault="00B86885" w:rsidP="00DC2D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86885" w:rsidRPr="00B86885" w:rsidRDefault="00B86885" w:rsidP="00DC2D1F">
      <w:pPr>
        <w:rPr>
          <w:rFonts w:eastAsiaTheme="minorEastAsia"/>
        </w:rPr>
      </w:pPr>
      <w:r>
        <w:rPr>
          <w:rFonts w:eastAsiaTheme="minorEastAsia"/>
        </w:rPr>
        <w:t xml:space="preserve">Ce sont donc ces deux équations qui </w:t>
      </w:r>
      <w:r w:rsidR="00AB6018">
        <w:rPr>
          <w:rFonts w:eastAsiaTheme="minorEastAsia"/>
        </w:rPr>
        <w:t>sont programmées</w:t>
      </w:r>
      <w:r>
        <w:rPr>
          <w:rFonts w:eastAsiaTheme="minorEastAsia"/>
        </w:rPr>
        <w:t xml:space="preserve"> dans le logiciel de simulation. La première permet de déterminer la vitesse finale de la balle lors de l’arrêt de la simulation. </w:t>
      </w:r>
      <w:r w:rsidR="002B732F">
        <w:rPr>
          <w:rFonts w:eastAsiaTheme="minorEastAsia"/>
        </w:rPr>
        <w:t>La deuxième permet de déterminer à tout moment la position de la balle. Cette dernière est évaluée à chaque 0.005 secondes pour avoir une bonne série de points à afficher.</w:t>
      </w:r>
    </w:p>
    <w:p w:rsidR="007E366F" w:rsidRDefault="007E366F" w:rsidP="007E366F">
      <w:pPr>
        <w:pStyle w:val="Titre2"/>
      </w:pPr>
      <w:r>
        <w:t>Simulation #2</w:t>
      </w:r>
    </w:p>
    <w:p w:rsidR="007E366F" w:rsidRDefault="007E366F" w:rsidP="007E366F">
      <w:r>
        <w:t>Pour cette simulation, le programme utilise une méthode numérique pour faire la simulation. La méthode utilisée est celle de Runge-</w:t>
      </w:r>
      <w:proofErr w:type="spellStart"/>
      <w:r>
        <w:t>Kutta</w:t>
      </w:r>
      <w:proofErr w:type="spellEnd"/>
      <w:r>
        <w:t xml:space="preserve"> d’ordre 4. Le programme peut aussi utiliser l</w:t>
      </w:r>
      <w:r w:rsidR="00AB6018">
        <w:t>a méthode d’</w:t>
      </w:r>
      <w:proofErr w:type="spellStart"/>
      <w:r w:rsidR="00AB6018">
        <w:t>Euleur</w:t>
      </w:r>
      <w:proofErr w:type="spellEnd"/>
      <w:r w:rsidR="00AB6018">
        <w:t xml:space="preserve"> mais dans les sources </w:t>
      </w:r>
      <w:r>
        <w:t>remis</w:t>
      </w:r>
      <w:r w:rsidR="00AB6018">
        <w:t>es</w:t>
      </w:r>
      <w:r>
        <w:t>, c’est la méthode de Runge-</w:t>
      </w:r>
      <w:proofErr w:type="spellStart"/>
      <w:r>
        <w:t>Kutta</w:t>
      </w:r>
      <w:proofErr w:type="spellEnd"/>
      <w:r>
        <w:t xml:space="preserve"> qui est utilisée. Les équations à résoudre pour ce problème sont :</w:t>
      </w:r>
    </w:p>
    <w:p w:rsidR="007E366F" w:rsidRPr="007E366F" w:rsidRDefault="002321D0" w:rsidP="007E366F">
      <w:pPr>
        <w:jc w:val="center"/>
        <w:rPr>
          <w:rFonts w:eastAsiaTheme="minorEastAsia"/>
          <w:i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=g-k*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:rsidR="007E366F" w:rsidRPr="007E366F" w:rsidRDefault="002321D0" w:rsidP="007E366F">
      <w:pPr>
        <w:jc w:val="center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=v(t)</m:t>
          </m:r>
        </m:oMath>
      </m:oMathPara>
    </w:p>
    <w:p w:rsidR="007E366F" w:rsidRDefault="007E366F" w:rsidP="00DC2D1F">
      <w:r>
        <w:t>Où g est la gravité (0, 0, -9.8) m/s</w:t>
      </w:r>
      <w:r>
        <w:rPr>
          <w:vertAlign w:val="superscript"/>
        </w:rPr>
        <w:t>2</w:t>
      </w:r>
      <w:r>
        <w:t xml:space="preserve"> et k = 0.01 secondes</w:t>
      </w:r>
      <w:r>
        <w:rPr>
          <w:vertAlign w:val="superscript"/>
        </w:rPr>
        <w:t>-1</w:t>
      </w:r>
      <w:r w:rsidR="00293365">
        <w:t>. Au temps t</w:t>
      </w:r>
      <w:r w:rsidR="00293365">
        <w:rPr>
          <w:vertAlign w:val="subscript"/>
        </w:rPr>
        <w:t>0</w:t>
      </w:r>
      <w:r w:rsidR="00293365">
        <w:t xml:space="preserve"> la vitesse</w:t>
      </w:r>
      <w:r w:rsidR="002B732F">
        <w:t xml:space="preserve"> de</w:t>
      </w:r>
      <w:r w:rsidR="00293365">
        <w:t xml:space="preserve"> la balle est donnée par v</w:t>
      </w:r>
      <w:r w:rsidR="00293365">
        <w:rPr>
          <w:vertAlign w:val="subscript"/>
        </w:rPr>
        <w:t>0</w:t>
      </w:r>
      <w:r w:rsidR="00293365">
        <w:t xml:space="preserve"> (fournis par l’utilisateur) et la position par r</w:t>
      </w:r>
      <w:r w:rsidR="00293365">
        <w:rPr>
          <w:vertAlign w:val="subscript"/>
        </w:rPr>
        <w:t>0</w:t>
      </w:r>
      <w:r w:rsidR="00293365">
        <w:t xml:space="preserve"> (fournis par l’utilisateur). La résolution de la première équation à l’aide de l’analyse numérique nous permettra d’obtenir la vitesse de la balle au temps t</w:t>
      </w:r>
      <w:r w:rsidR="00293365">
        <w:rPr>
          <w:vertAlign w:val="subscript"/>
        </w:rPr>
        <w:t>i</w:t>
      </w:r>
      <w:r w:rsidR="00293365">
        <w:t>. Cette vitesse au temps</w:t>
      </w:r>
      <w:r w:rsidR="002B732F">
        <w:t xml:space="preserve"> t</w:t>
      </w:r>
      <w:r w:rsidR="002B732F">
        <w:rPr>
          <w:vertAlign w:val="subscript"/>
        </w:rPr>
        <w:t>i</w:t>
      </w:r>
      <w:r w:rsidR="00293365">
        <w:t xml:space="preserve"> sera ensuite utilisée pour résoudre la deuxième équation ce qui nous donnera alors la position de la balle au temps t</w:t>
      </w:r>
      <w:r w:rsidR="00293365">
        <w:rPr>
          <w:vertAlign w:val="subscript"/>
        </w:rPr>
        <w:t>i</w:t>
      </w:r>
      <w:r w:rsidR="002B732F">
        <w:t>. À l’aide de ces valeurs</w:t>
      </w:r>
      <w:r w:rsidR="00293365">
        <w:t xml:space="preserve">, on détermine si la balle dépasse le filet, ou termine sa trajectoire soit dans la zone adverse, soit dans la zone du joueur ou </w:t>
      </w:r>
      <w:r w:rsidR="002B732F">
        <w:t xml:space="preserve">encore </w:t>
      </w:r>
      <w:r w:rsidR="00293365">
        <w:t>à l’extérieur du terrain.</w:t>
      </w:r>
    </w:p>
    <w:p w:rsidR="00293365" w:rsidRDefault="00293365" w:rsidP="00293365">
      <w:pPr>
        <w:pStyle w:val="Titre"/>
      </w:pPr>
      <w:r>
        <w:t>Solution</w:t>
      </w:r>
    </w:p>
    <w:p w:rsidR="00293365" w:rsidRPr="002B732F" w:rsidRDefault="00293365" w:rsidP="00293365">
      <w:r>
        <w:t>La solution proposée est un projet Visual Studio 2008. Le fichier de la solution se trouve dans « </w:t>
      </w:r>
      <w:proofErr w:type="spellStart"/>
      <w:r>
        <w:t>build</w:t>
      </w:r>
      <w:proofErr w:type="spellEnd"/>
      <w:r>
        <w:t>/vss9/GameEngine.sln ». Cette solution contient deux projets. Le projet « </w:t>
      </w:r>
      <w:proofErr w:type="spellStart"/>
      <w:r>
        <w:t>GameEngine</w:t>
      </w:r>
      <w:proofErr w:type="spellEnd"/>
      <w:r>
        <w:t xml:space="preserve"> » </w:t>
      </w:r>
      <w:r>
        <w:lastRenderedPageBreak/>
        <w:t>qui est le cœur du programme de simulation. Il contient le code pour l’affichage de la fenêtre, les solutions numériques, et bien d’autres trucs utiles.</w:t>
      </w:r>
      <w:r w:rsidR="002B732F">
        <w:t xml:space="preserve"> La source de ce projet se trouve dans le répertoire « </w:t>
      </w:r>
      <w:proofErr w:type="spellStart"/>
      <w:r w:rsidR="002B732F">
        <w:t>src</w:t>
      </w:r>
      <w:proofErr w:type="spellEnd"/>
      <w:r w:rsidR="002B732F">
        <w:t> ».</w:t>
      </w:r>
      <w:r>
        <w:t xml:space="preserve"> Le projet « Tp1 » contient le code requis pour fair</w:t>
      </w:r>
      <w:r w:rsidR="002B732F">
        <w:t>e toute la simulation demandée, le code source pour ce projet se trouve dans « </w:t>
      </w:r>
      <w:proofErr w:type="spellStart"/>
      <w:r w:rsidR="002B732F">
        <w:t>src</w:t>
      </w:r>
      <w:proofErr w:type="spellEnd"/>
      <w:r w:rsidR="002B732F" w:rsidRPr="002B732F">
        <w:t>\tp1</w:t>
      </w:r>
      <w:r w:rsidR="002B732F">
        <w:t> ».</w:t>
      </w:r>
    </w:p>
    <w:p w:rsidR="00293365" w:rsidRDefault="00293365" w:rsidP="00293365">
      <w:pPr>
        <w:rPr>
          <w:lang w:val="fr-FR"/>
        </w:rPr>
      </w:pPr>
      <w:r>
        <w:t>Pour exécuter la solution, deux options sont offertes. On peut soit démarrer le projet depuis Visual Studio. Dans ce cas, il faut aller dans les propriétés du projet « Tp1 » et sous l’onglet « </w:t>
      </w:r>
      <w:proofErr w:type="spellStart"/>
      <w:r>
        <w:t>Debugging</w:t>
      </w:r>
      <w:proofErr w:type="spellEnd"/>
      <w:r>
        <w:t xml:space="preserve"> » il </w:t>
      </w:r>
      <w:r w:rsidR="002B732F">
        <w:t>faut changer la valeur du champ</w:t>
      </w:r>
      <w:r>
        <w:t xml:space="preserve"> « </w:t>
      </w:r>
      <w:proofErr w:type="spellStart"/>
      <w:r>
        <w:t>Working</w:t>
      </w:r>
      <w:proofErr w:type="spellEnd"/>
      <w:r>
        <w:t xml:space="preserve"> Directory » pour qu’elle soit </w:t>
      </w:r>
      <w:r w:rsidR="002B732F">
        <w:t xml:space="preserve">assignée à </w:t>
      </w:r>
      <w:r>
        <w:t>« $(</w:t>
      </w:r>
      <w:proofErr w:type="spellStart"/>
      <w:r>
        <w:t>SolutionDir</w:t>
      </w:r>
      <w:proofErr w:type="spellEnd"/>
      <w:r>
        <w:t>)</w:t>
      </w:r>
      <w:proofErr w:type="gramStart"/>
      <w:r>
        <w:t>..</w:t>
      </w:r>
      <w:proofErr w:type="gramEnd"/>
      <w:r w:rsidRPr="00293365">
        <w:rPr>
          <w:lang w:val="fr-FR"/>
        </w:rPr>
        <w:t>\..\</w:t>
      </w:r>
      <w:proofErr w:type="spellStart"/>
      <w:r>
        <w:rPr>
          <w:lang w:val="fr-FR"/>
        </w:rPr>
        <w:t>bin</w:t>
      </w:r>
      <w:proofErr w:type="spellEnd"/>
      <w:r>
        <w:rPr>
          <w:lang w:val="fr-FR"/>
        </w:rPr>
        <w:t> ». Sinon, à chaque compilation depuis Visual Studio, l’exécutable est copié dans le dossier « </w:t>
      </w:r>
      <w:proofErr w:type="spellStart"/>
      <w:r>
        <w:rPr>
          <w:lang w:val="fr-FR"/>
        </w:rPr>
        <w:t>bin</w:t>
      </w:r>
      <w:proofErr w:type="spellEnd"/>
      <w:r>
        <w:rPr>
          <w:lang w:val="fr-FR"/>
        </w:rPr>
        <w:t> » à la racine du projet. Il suffit alors de double cliquer sur l’exécutable</w:t>
      </w:r>
      <w:r w:rsidR="002B732F">
        <w:rPr>
          <w:lang w:val="fr-FR"/>
        </w:rPr>
        <w:t xml:space="preserve"> copier dans ce dossier</w:t>
      </w:r>
      <w:r>
        <w:rPr>
          <w:lang w:val="fr-FR"/>
        </w:rPr>
        <w:t xml:space="preserve"> pour lancer la simulation.</w:t>
      </w:r>
    </w:p>
    <w:p w:rsidR="00AB6018" w:rsidRDefault="00AB6018" w:rsidP="00293365">
      <w:pPr>
        <w:rPr>
          <w:lang w:val="fr-FR"/>
        </w:rPr>
      </w:pPr>
      <w:r>
        <w:rPr>
          <w:lang w:val="fr-FR"/>
        </w:rPr>
        <w:t>Lors de la simulation, certaines touches sont accessibles et permettent de faire les choses suivantes :</w:t>
      </w:r>
    </w:p>
    <w:p w:rsidR="00AB6018" w:rsidRDefault="00AB6018" w:rsidP="00AB6018">
      <w:pPr>
        <w:pStyle w:val="Paragraphedeliste"/>
        <w:numPr>
          <w:ilvl w:val="0"/>
          <w:numId w:val="2"/>
        </w:numPr>
      </w:pPr>
      <w:r>
        <w:t>La touche « a » permet de faire basculer l’affichage des axes (Rouge = X, Vert = Y, Bleu = Z)</w:t>
      </w:r>
    </w:p>
    <w:p w:rsidR="00AB6018" w:rsidRDefault="00AB6018" w:rsidP="00AB6018">
      <w:pPr>
        <w:pStyle w:val="Paragraphedeliste"/>
        <w:numPr>
          <w:ilvl w:val="0"/>
          <w:numId w:val="2"/>
        </w:numPr>
      </w:pPr>
      <w:r>
        <w:t>La touche « r » permet de rejouer la simulation depuis le début</w:t>
      </w:r>
    </w:p>
    <w:p w:rsidR="00AB6018" w:rsidRPr="002B732F" w:rsidRDefault="00AB6018" w:rsidP="00AB6018">
      <w:pPr>
        <w:pStyle w:val="Paragraphedeliste"/>
        <w:numPr>
          <w:ilvl w:val="0"/>
          <w:numId w:val="2"/>
        </w:numPr>
      </w:pPr>
      <w:r>
        <w:t>Le déplacement de la souris avec un bouton enfoncé permet de faire pivoter la caméra</w:t>
      </w:r>
    </w:p>
    <w:p w:rsidR="00293365" w:rsidRDefault="00293365" w:rsidP="00293365">
      <w:pPr>
        <w:pStyle w:val="Titre"/>
        <w:rPr>
          <w:lang w:val="fr-FR"/>
        </w:rPr>
      </w:pPr>
      <w:r>
        <w:rPr>
          <w:lang w:val="fr-FR"/>
        </w:rPr>
        <w:t>Résultats</w:t>
      </w:r>
    </w:p>
    <w:p w:rsidR="00293365" w:rsidRDefault="008E6D25" w:rsidP="00293365">
      <w:pPr>
        <w:rPr>
          <w:lang w:val="fr-FR"/>
        </w:rPr>
      </w:pPr>
      <w:r>
        <w:rPr>
          <w:lang w:val="fr-FR"/>
        </w:rPr>
        <w:t>Voici un tableau récapitulatif montrant différents résultats d’exécutions. Pour chaque ligne on a le type de simulation (Type #1 ou Type #2), la position initiale</w:t>
      </w:r>
      <w:r w:rsidR="00B1260A">
        <w:rPr>
          <w:lang w:val="fr-FR"/>
        </w:rPr>
        <w:t xml:space="preserve"> (au haut de la case) et finale (au bas de la case) de la balle</w:t>
      </w:r>
      <w:r>
        <w:rPr>
          <w:lang w:val="fr-FR"/>
        </w:rPr>
        <w:t>, la vitesse initiale</w:t>
      </w:r>
      <w:r w:rsidR="00B1260A">
        <w:rPr>
          <w:lang w:val="fr-FR"/>
        </w:rPr>
        <w:t xml:space="preserve"> et finale (comme pour la position)</w:t>
      </w:r>
      <w:r>
        <w:rPr>
          <w:lang w:val="fr-FR"/>
        </w:rPr>
        <w:t>,  une description de l’état de la balle à la fin de la simulat</w:t>
      </w:r>
      <w:r w:rsidR="00B1260A">
        <w:rPr>
          <w:lang w:val="fr-FR"/>
        </w:rPr>
        <w:t xml:space="preserve">ion (voir paragraphe plus bas) </w:t>
      </w:r>
      <w:r>
        <w:rPr>
          <w:lang w:val="fr-FR"/>
        </w:rPr>
        <w:t>et finalement le temps écoulé lors de la trajectoire de la balle.</w:t>
      </w:r>
    </w:p>
    <w:p w:rsidR="008E6D25" w:rsidRDefault="008E6D25" w:rsidP="00293365">
      <w:pPr>
        <w:rPr>
          <w:lang w:val="fr-FR"/>
        </w:rPr>
      </w:pPr>
      <w:r>
        <w:rPr>
          <w:lang w:val="fr-FR"/>
        </w:rPr>
        <w:t>L’état de la balle à la fin de la simulation peut être :</w:t>
      </w:r>
    </w:p>
    <w:p w:rsidR="008E6D25" w:rsidRDefault="008E6D25" w:rsidP="008E6D2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balle est sortie au fond du terrain</w:t>
      </w:r>
      <w:r w:rsidR="002B732F">
        <w:rPr>
          <w:lang w:val="fr-FR"/>
        </w:rPr>
        <w:t xml:space="preserve"> (Fond)</w:t>
      </w:r>
    </w:p>
    <w:p w:rsidR="008E6D25" w:rsidRDefault="008E6D25" w:rsidP="008E6D2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balle est sortie à droite du terrain</w:t>
      </w:r>
      <w:r w:rsidR="002B732F">
        <w:rPr>
          <w:lang w:val="fr-FR"/>
        </w:rPr>
        <w:t xml:space="preserve"> (Droite)</w:t>
      </w:r>
    </w:p>
    <w:p w:rsidR="008E6D25" w:rsidRDefault="008E6D25" w:rsidP="008E6D2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balle est sortie à gauche du terrain</w:t>
      </w:r>
      <w:r w:rsidR="002B732F">
        <w:rPr>
          <w:lang w:val="fr-FR"/>
        </w:rPr>
        <w:t xml:space="preserve"> (Gauche)</w:t>
      </w:r>
    </w:p>
    <w:p w:rsidR="008E6D25" w:rsidRDefault="008E6D25" w:rsidP="008E6D2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balle frappe le filet</w:t>
      </w:r>
      <w:r w:rsidR="002B732F">
        <w:rPr>
          <w:lang w:val="fr-FR"/>
        </w:rPr>
        <w:t xml:space="preserve"> (Filet)</w:t>
      </w:r>
    </w:p>
    <w:p w:rsidR="008E6D25" w:rsidRDefault="008E6D25" w:rsidP="008E6D2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La balle tombe dans la zone adverse (Zone #2)</w:t>
      </w:r>
    </w:p>
    <w:p w:rsidR="00CF7368" w:rsidRPr="00CF7368" w:rsidRDefault="008E6D25" w:rsidP="00CF736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balle tombe dans la zone du joueur (Zone #1)</w:t>
      </w:r>
    </w:p>
    <w:tbl>
      <w:tblPr>
        <w:tblStyle w:val="Tramemoyenne1-Accent1"/>
        <w:tblW w:w="0" w:type="auto"/>
        <w:tblLayout w:type="fixed"/>
        <w:tblLook w:val="04A0"/>
      </w:tblPr>
      <w:tblGrid>
        <w:gridCol w:w="959"/>
        <w:gridCol w:w="2126"/>
        <w:gridCol w:w="2126"/>
        <w:gridCol w:w="1276"/>
        <w:gridCol w:w="1843"/>
      </w:tblGrid>
      <w:tr w:rsidR="0051601D" w:rsidTr="0051601D">
        <w:trPr>
          <w:cnfStyle w:val="10000000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</w:tcPr>
          <w:p w:rsidR="0051601D" w:rsidRDefault="0051601D" w:rsidP="003D207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1601D" w:rsidRDefault="0051601D" w:rsidP="0051601D">
            <w:pPr>
              <w:jc w:val="center"/>
              <w:cnfStyle w:val="100000000000"/>
              <w:rPr>
                <w:lang w:val="fr-FR"/>
              </w:rPr>
            </w:pPr>
            <w:r>
              <w:rPr>
                <w:lang w:val="fr-FR"/>
              </w:rPr>
              <w:t>Position (m)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1601D" w:rsidRDefault="0051601D" w:rsidP="0051601D">
            <w:pPr>
              <w:jc w:val="center"/>
              <w:cnfStyle w:val="100000000000"/>
              <w:rPr>
                <w:lang w:val="fr-FR"/>
              </w:rPr>
            </w:pPr>
            <w:r>
              <w:rPr>
                <w:lang w:val="fr-FR"/>
              </w:rPr>
              <w:t>Vitesse (m/s)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</w:tcPr>
          <w:p w:rsidR="0051601D" w:rsidRDefault="0051601D" w:rsidP="003D2078">
            <w:pPr>
              <w:jc w:val="center"/>
              <w:cnfStyle w:val="100000000000"/>
              <w:rPr>
                <w:lang w:val="fr-FR"/>
              </w:rPr>
            </w:pPr>
            <w:r>
              <w:rPr>
                <w:lang w:val="fr-FR"/>
              </w:rPr>
              <w:t>État Final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</w:tcPr>
          <w:p w:rsidR="0051601D" w:rsidRDefault="0051601D" w:rsidP="003D2078">
            <w:pPr>
              <w:jc w:val="center"/>
              <w:cnfStyle w:val="100000000000"/>
              <w:rPr>
                <w:lang w:val="fr-FR"/>
              </w:rPr>
            </w:pPr>
            <w:r>
              <w:rPr>
                <w:lang w:val="fr-FR"/>
              </w:rPr>
              <w:t>Temps écoulé (s)</w:t>
            </w:r>
          </w:p>
        </w:tc>
      </w:tr>
      <w:tr w:rsidR="0051601D" w:rsidTr="0051601D">
        <w:trPr>
          <w:cnfStyle w:val="00000010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51601D" w:rsidRDefault="0051601D" w:rsidP="0051601D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Type #1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51601D" w:rsidRDefault="0051601D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(2.5, 2.5, 0.25)</w:t>
            </w:r>
          </w:p>
          <w:p w:rsidR="0051601D" w:rsidRDefault="0051601D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(4.49, 11.8, 0.743)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51601D" w:rsidRDefault="0051601D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(3.0, 14.0, 4.0)</w:t>
            </w:r>
          </w:p>
          <w:p w:rsidR="0051601D" w:rsidRDefault="0051601D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(3.0, 14.0, -2.52)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51601D" w:rsidRDefault="0051601D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Filet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51601D" w:rsidRDefault="0051601D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0.67</w:t>
            </w:r>
          </w:p>
        </w:tc>
      </w:tr>
      <w:tr w:rsidR="0051601D" w:rsidTr="0051601D">
        <w:trPr>
          <w:cnfStyle w:val="00000001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51601D" w:rsidRDefault="0051601D" w:rsidP="0051601D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Type #2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51601D" w:rsidRDefault="0051601D" w:rsidP="0051601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(2.5, 2.5, 0.25)</w:t>
            </w:r>
          </w:p>
          <w:p w:rsidR="0051601D" w:rsidRDefault="0051601D" w:rsidP="0051601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(4.58, 11.8, 0.618)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51601D" w:rsidRDefault="0051601D" w:rsidP="0051601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(3.0, 14.0, 4.0)</w:t>
            </w:r>
          </w:p>
          <w:p w:rsidR="0051601D" w:rsidRDefault="0051601D" w:rsidP="0051601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(2.94, 12.8, -2.89)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51601D" w:rsidRDefault="0051601D" w:rsidP="0051601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Filet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51601D" w:rsidRDefault="0051601D" w:rsidP="0051601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0.70</w:t>
            </w:r>
          </w:p>
        </w:tc>
      </w:tr>
      <w:tr w:rsidR="00CF7368" w:rsidTr="0051601D">
        <w:trPr>
          <w:cnfStyle w:val="00000010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CF7368" w:rsidRDefault="00CF7368" w:rsidP="0051601D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Type #1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CF7368" w:rsidRDefault="00CF7368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(7.5, 4.0, 1.0)</w:t>
            </w:r>
          </w:p>
          <w:p w:rsidR="00CF7368" w:rsidRDefault="00CF7368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(6.78, 10.7, -0.005)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CF7368" w:rsidRDefault="00CF7368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(-4.5, 42.0, -5.5)</w:t>
            </w:r>
          </w:p>
          <w:p w:rsidR="00CF7368" w:rsidRDefault="00CF7368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(-4.5, 42.0, -7.07)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CF7368" w:rsidP="00CF7368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Zone #1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CF7368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0.165</w:t>
            </w:r>
          </w:p>
        </w:tc>
      </w:tr>
      <w:tr w:rsidR="00CF7368" w:rsidTr="0051601D">
        <w:trPr>
          <w:cnfStyle w:val="00000001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CF7368" w:rsidRDefault="00CF7368" w:rsidP="0051601D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Type #2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CF7368" w:rsidRDefault="00CF7368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(7.5, 4.0, 1.0)</w:t>
            </w:r>
          </w:p>
          <w:p w:rsidR="00CF7368" w:rsidRDefault="00CF7368" w:rsidP="00CF7368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(6.78, 10.5, -0.014)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CF7368" w:rsidRDefault="00CF7368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(-4.5, 42.0, -5.5)</w:t>
            </w:r>
          </w:p>
          <w:p w:rsidR="00CF7368" w:rsidRDefault="00CF7368" w:rsidP="00CF7368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(-4.53, 39.4, -7.13)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CF7368" w:rsidP="00CF7368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Zone #1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CF7368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0.160</w:t>
            </w:r>
          </w:p>
        </w:tc>
      </w:tr>
      <w:tr w:rsidR="00CF7368" w:rsidTr="0051601D">
        <w:trPr>
          <w:cnfStyle w:val="00000010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CF7368" w:rsidRDefault="00CF7368" w:rsidP="0051601D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Type #1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CF7368" w:rsidRDefault="00CF7368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(7.5, 4.0, 1.0)</w:t>
            </w:r>
          </w:p>
          <w:p w:rsidR="00CF7368" w:rsidRDefault="00CF7368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(1.72, 19.4, -0.0235)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CF7368" w:rsidRDefault="00CF7368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(-4.5, 12.0, 5.5)</w:t>
            </w:r>
          </w:p>
          <w:p w:rsidR="00CF7368" w:rsidRDefault="00CF7368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(-4.5, 12.0, -7.09)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CF7368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Zone #2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CF7368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1.29</w:t>
            </w:r>
          </w:p>
        </w:tc>
      </w:tr>
      <w:tr w:rsidR="00CF7368" w:rsidTr="0051601D">
        <w:trPr>
          <w:cnfStyle w:val="00000001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CF7368" w:rsidRDefault="00CF7368" w:rsidP="0051601D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Type #2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CF7368" w:rsidRDefault="00CF7368" w:rsidP="00CF7368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(7.5, 4.0, 1.0)</w:t>
            </w:r>
          </w:p>
          <w:p w:rsidR="00CF7368" w:rsidRDefault="00CF7368" w:rsidP="0051601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(1.61, 18.2, -0.0338)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CF7368" w:rsidRDefault="00CF7368" w:rsidP="00CF7368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(-4.5, 12.0, 5.5)</w:t>
            </w:r>
          </w:p>
          <w:p w:rsidR="00CF7368" w:rsidRDefault="00CF7368" w:rsidP="0051601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(-4.77, 10.4, -7.12)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CF7368" w:rsidP="0051601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Zone #2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CF7368" w:rsidP="00CF7368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1.27</w:t>
            </w:r>
          </w:p>
        </w:tc>
      </w:tr>
      <w:tr w:rsidR="00CF7368" w:rsidTr="0051601D">
        <w:trPr>
          <w:cnfStyle w:val="00000010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CF7368" w:rsidRDefault="00CF7368" w:rsidP="00CF7368">
            <w:pP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Type #1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CF7368" w:rsidRDefault="00F45053" w:rsidP="00CF7368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(2.0, 4.0, 1.0)</w:t>
            </w:r>
          </w:p>
          <w:p w:rsidR="00F45053" w:rsidRDefault="00F45053" w:rsidP="00CF7368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(4.39, 27.9, -0.022)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CF7368" w:rsidRDefault="00F45053" w:rsidP="00CF7368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(2.0, 20.0, 5.0)</w:t>
            </w:r>
          </w:p>
          <w:p w:rsidR="00F45053" w:rsidRDefault="00F45053" w:rsidP="00CF7368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(2.0, 20.0, -6.71)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F45053" w:rsidP="0051601D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Fond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F45053" w:rsidP="00CF7368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1.2</w:t>
            </w:r>
          </w:p>
        </w:tc>
      </w:tr>
      <w:tr w:rsidR="00CF7368" w:rsidTr="0051601D">
        <w:trPr>
          <w:cnfStyle w:val="00000001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CF7368" w:rsidRDefault="00CF7368" w:rsidP="00CF7368">
            <w:pP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Type #</w:t>
            </w:r>
            <w:r w:rsidR="00F45053">
              <w:rPr>
                <w:lang w:val="fr-FR"/>
              </w:rPr>
              <w:t>2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09379D" w:rsidRDefault="0009379D" w:rsidP="0009379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(2.0, 4.0, 1.0)</w:t>
            </w:r>
          </w:p>
          <w:p w:rsidR="00CF7368" w:rsidRDefault="0009379D" w:rsidP="00CF7368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(4.33, 25.2, -0.013)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09379D" w:rsidRDefault="0009379D" w:rsidP="0009379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(2.0, 20.0, 5.0)</w:t>
            </w:r>
          </w:p>
          <w:p w:rsidR="00CF7368" w:rsidRDefault="0009379D" w:rsidP="00CF7368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(1.95, 16.2, -6.71)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F45053" w:rsidP="0051601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Fond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CF7368" w:rsidRDefault="0009379D" w:rsidP="00CF7368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1.18</w:t>
            </w:r>
          </w:p>
        </w:tc>
      </w:tr>
      <w:tr w:rsidR="00F45053" w:rsidTr="0051601D">
        <w:trPr>
          <w:cnfStyle w:val="00000010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F45053" w:rsidRDefault="00F45053" w:rsidP="00FF5DDC">
            <w:pP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Type #1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F45053" w:rsidRDefault="0009379D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(8.0, 3.0, 0.5)</w:t>
            </w:r>
          </w:p>
          <w:p w:rsidR="0009379D" w:rsidRDefault="0009379D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(-2.17, 19.9, -0.018)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F45053" w:rsidRDefault="0009379D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(-6.0, 10.0, 8.0)</w:t>
            </w:r>
          </w:p>
          <w:p w:rsidR="0009379D" w:rsidRDefault="0009379D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(-6.0, 10.0, -8.61)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F45053" w:rsidRDefault="00F45053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Gauche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F45053" w:rsidRDefault="0009379D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1.7</w:t>
            </w:r>
          </w:p>
        </w:tc>
      </w:tr>
      <w:tr w:rsidR="00F45053" w:rsidTr="0051601D">
        <w:trPr>
          <w:cnfStyle w:val="00000001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F45053" w:rsidRDefault="00F45053" w:rsidP="00FF5DDC">
            <w:pP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Type #2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09379D" w:rsidRDefault="0009379D" w:rsidP="0009379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(8.0, 3.0, 0.5)</w:t>
            </w:r>
          </w:p>
          <w:p w:rsidR="00F45053" w:rsidRDefault="0009379D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(-2.46, 18.3, -0.011)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09379D" w:rsidRDefault="0009379D" w:rsidP="0009379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(-6.0, 10.0, 8.0)</w:t>
            </w:r>
          </w:p>
          <w:p w:rsidR="00F45053" w:rsidRDefault="0009379D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(-6.66, 8.58, -8.59)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F45053" w:rsidRDefault="00F45053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Gauche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F45053" w:rsidRDefault="0009379D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1.65</w:t>
            </w:r>
          </w:p>
        </w:tc>
      </w:tr>
      <w:tr w:rsidR="00F45053" w:rsidTr="0051601D">
        <w:trPr>
          <w:cnfStyle w:val="00000010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F45053" w:rsidRDefault="00F45053" w:rsidP="00FF5DDC">
            <w:pP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Type #1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F45053" w:rsidRDefault="0009379D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(1.5, 6.0, 2.0)</w:t>
            </w:r>
          </w:p>
          <w:p w:rsidR="0009379D" w:rsidRDefault="0009379D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(14.9, 14.4, -0.023)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F45053" w:rsidRDefault="0009379D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(8.0, 5.0, 7.0)</w:t>
            </w:r>
          </w:p>
          <w:p w:rsidR="0009379D" w:rsidRDefault="0009379D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(8.5, 5.0, -9.41)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F45053" w:rsidRDefault="00F45053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Droite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F45053" w:rsidRDefault="0009379D" w:rsidP="00FF5DDC">
            <w:pPr>
              <w:spacing w:line="240" w:lineRule="auto"/>
              <w:jc w:val="center"/>
              <w:cnfStyle w:val="000000100000"/>
              <w:rPr>
                <w:lang w:val="fr-FR"/>
              </w:rPr>
            </w:pPr>
            <w:r>
              <w:rPr>
                <w:lang w:val="fr-FR"/>
              </w:rPr>
              <w:t>1.68</w:t>
            </w:r>
          </w:p>
        </w:tc>
      </w:tr>
      <w:tr w:rsidR="00F45053" w:rsidTr="0051601D">
        <w:trPr>
          <w:cnfStyle w:val="000000010000"/>
        </w:trPr>
        <w:tc>
          <w:tcPr>
            <w:cnfStyle w:val="001000000000"/>
            <w:tcW w:w="959" w:type="dxa"/>
            <w:tcBorders>
              <w:right w:val="single" w:sz="8" w:space="0" w:color="7BA0CD" w:themeColor="accent1" w:themeTint="BF"/>
            </w:tcBorders>
            <w:vAlign w:val="center"/>
          </w:tcPr>
          <w:p w:rsidR="00F45053" w:rsidRDefault="00F45053" w:rsidP="00FF5DDC">
            <w:pP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Type #2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09379D" w:rsidRDefault="0009379D" w:rsidP="0009379D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(1.5, 6.0, 2.0)</w:t>
            </w:r>
          </w:p>
          <w:p w:rsidR="00F45053" w:rsidRDefault="0009379D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(13.9, 13.9, -0.017)</w:t>
            </w:r>
          </w:p>
        </w:tc>
        <w:tc>
          <w:tcPr>
            <w:tcW w:w="2126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B1260A" w:rsidRDefault="00B1260A" w:rsidP="00B1260A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(8.0, 5.0, 7.0)</w:t>
            </w:r>
          </w:p>
          <w:p w:rsidR="00F45053" w:rsidRDefault="00B1260A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(7.07, 4.62, -9.51)</w:t>
            </w:r>
          </w:p>
        </w:tc>
        <w:tc>
          <w:tcPr>
            <w:tcW w:w="1276" w:type="dxa"/>
            <w:tcBorders>
              <w:left w:val="single" w:sz="8" w:space="0" w:color="7BA0CD" w:themeColor="accent1" w:themeTint="BF"/>
            </w:tcBorders>
            <w:vAlign w:val="center"/>
          </w:tcPr>
          <w:p w:rsidR="00F45053" w:rsidRDefault="00F45053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Droite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</w:tcBorders>
            <w:vAlign w:val="center"/>
          </w:tcPr>
          <w:p w:rsidR="00F45053" w:rsidRDefault="0009379D" w:rsidP="00FF5DDC">
            <w:pPr>
              <w:spacing w:line="240" w:lineRule="auto"/>
              <w:jc w:val="center"/>
              <w:cnfStyle w:val="000000010000"/>
              <w:rPr>
                <w:lang w:val="fr-FR"/>
              </w:rPr>
            </w:pPr>
            <w:r>
              <w:rPr>
                <w:lang w:val="fr-FR"/>
              </w:rPr>
              <w:t>1.64</w:t>
            </w:r>
          </w:p>
        </w:tc>
      </w:tr>
    </w:tbl>
    <w:p w:rsidR="00B1260A" w:rsidRDefault="00B1260A" w:rsidP="00293365">
      <w:pPr>
        <w:pStyle w:val="Titre"/>
        <w:rPr>
          <w:lang w:val="fr-FR"/>
        </w:rPr>
      </w:pPr>
    </w:p>
    <w:p w:rsidR="00293365" w:rsidRDefault="00293365" w:rsidP="00293365">
      <w:pPr>
        <w:pStyle w:val="Titre"/>
        <w:rPr>
          <w:lang w:val="fr-FR"/>
        </w:rPr>
      </w:pPr>
      <w:r>
        <w:rPr>
          <w:lang w:val="fr-FR"/>
        </w:rPr>
        <w:t>Conclusion</w:t>
      </w:r>
    </w:p>
    <w:p w:rsidR="00B1260A" w:rsidRPr="00B1260A" w:rsidRDefault="004E2D3C" w:rsidP="00B1260A">
      <w:pPr>
        <w:rPr>
          <w:lang w:val="fr-FR"/>
        </w:rPr>
      </w:pPr>
      <w:r>
        <w:rPr>
          <w:lang w:val="fr-FR"/>
        </w:rPr>
        <w:t>En conclusion, on voit très bien que dans le cas de la simulation #2, la balle s’arrête plus rapidement que dans le cas de la simulation #1. La simulation effectuée suit donc la lo</w:t>
      </w:r>
      <w:r w:rsidR="005C1A22">
        <w:rPr>
          <w:lang w:val="fr-FR"/>
        </w:rPr>
        <w:t>gique car l’accélération dans le cas</w:t>
      </w:r>
      <w:r>
        <w:rPr>
          <w:lang w:val="fr-FR"/>
        </w:rPr>
        <w:t xml:space="preserve"> #2 est toujours plus importante vers le bas (à moins d’une vitesse initiale de zéro) que par rapport à la simulation #1. Dans le cas de la simulation #2, deux méthodes numériques ont été implémentées, celle d’Euler et celle de Runge-</w:t>
      </w:r>
      <w:proofErr w:type="spellStart"/>
      <w:r>
        <w:rPr>
          <w:lang w:val="fr-FR"/>
        </w:rPr>
        <w:t>Kutta</w:t>
      </w:r>
      <w:proofErr w:type="spellEnd"/>
      <w:r>
        <w:rPr>
          <w:lang w:val="fr-FR"/>
        </w:rPr>
        <w:t xml:space="preserve"> d’ordre 4. Dans les deux cas, le résultat de la simulation est sensiblement le même. Il ne semble donc pas y avoir de problème de stabilité numérique dans le cadre de ce devoir #1. </w:t>
      </w:r>
    </w:p>
    <w:sectPr w:rsidR="00B1260A" w:rsidRPr="00B1260A" w:rsidSect="00D829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90435"/>
    <w:multiLevelType w:val="hybridMultilevel"/>
    <w:tmpl w:val="0E1ED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17ECC"/>
    <w:multiLevelType w:val="hybridMultilevel"/>
    <w:tmpl w:val="4E8A9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DC2D1F"/>
    <w:rsid w:val="0009379D"/>
    <w:rsid w:val="00123B19"/>
    <w:rsid w:val="002321D0"/>
    <w:rsid w:val="00293365"/>
    <w:rsid w:val="002B732F"/>
    <w:rsid w:val="003D2078"/>
    <w:rsid w:val="004445F7"/>
    <w:rsid w:val="004E2D3C"/>
    <w:rsid w:val="0051601D"/>
    <w:rsid w:val="005676DE"/>
    <w:rsid w:val="005C1A22"/>
    <w:rsid w:val="007E366F"/>
    <w:rsid w:val="0086586C"/>
    <w:rsid w:val="008E6D25"/>
    <w:rsid w:val="00982FB0"/>
    <w:rsid w:val="00AB6018"/>
    <w:rsid w:val="00B1260A"/>
    <w:rsid w:val="00B86885"/>
    <w:rsid w:val="00CF7368"/>
    <w:rsid w:val="00D829C6"/>
    <w:rsid w:val="00DC2D1F"/>
    <w:rsid w:val="00F4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65"/>
    <w:pPr>
      <w:spacing w:line="36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C2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2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2D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C2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C2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C2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7E366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66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6D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3D2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3D20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B1260A"/>
    <w:pPr>
      <w:spacing w:after="0" w:line="240" w:lineRule="auto"/>
    </w:pPr>
    <w:rPr>
      <w:rFonts w:ascii="Calibri" w:eastAsia="Calibri" w:hAnsi="Calibri" w:cs="Times New Roman"/>
      <w:sz w:val="24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6BD61-34A3-45EE-8812-7D6FD2E2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1150</Words>
  <Characters>6331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etu_test</dc:creator>
  <cp:lastModifiedBy>etu_test</cp:lastModifiedBy>
  <cp:revision>4</cp:revision>
  <cp:lastPrinted>2009-09-22T21:53:00Z</cp:lastPrinted>
  <dcterms:created xsi:type="dcterms:W3CDTF">2009-09-21T21:33:00Z</dcterms:created>
  <dcterms:modified xsi:type="dcterms:W3CDTF">2009-09-22T22:05:00Z</dcterms:modified>
</cp:coreProperties>
</file>