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0302" w14:textId="77777777" w:rsidR="000E3F0A" w:rsidRDefault="000E3F0A" w:rsidP="000E3F0A">
      <w:pPr>
        <w:spacing w:before="100" w:beforeAutospacing="1" w:after="100" w:afterAutospacing="1"/>
        <w:outlineLvl w:val="0"/>
        <w:rPr>
          <w:rFonts w:eastAsia="Times New Roman" w:cs="Times New Roman"/>
          <w:b/>
          <w:bCs/>
          <w:kern w:val="36"/>
          <w:sz w:val="48"/>
          <w:szCs w:val="48"/>
        </w:rPr>
      </w:pPr>
      <w:bookmarkStart w:id="0" w:name="el-remache-y-el-zorzal"/>
      <w:bookmarkStart w:id="1" w:name="X4b1c4a5f4b3df2ed321e1c2ca62f01427d79daa"/>
      <w:bookmarkStart w:id="2" w:name="epílogo-el-remache-que-canta"/>
      <w:r w:rsidRPr="00CE725D">
        <w:rPr>
          <w:rFonts w:eastAsia="Times New Roman" w:cs="Times New Roman"/>
          <w:b/>
          <w:bCs/>
          <w:kern w:val="36"/>
          <w:sz w:val="48"/>
          <w:szCs w:val="48"/>
          <w:lang w:val="es-ES"/>
        </w:rPr>
        <w:t>El Remache y el Zorzal</w:t>
      </w:r>
    </w:p>
    <w:p w14:paraId="035D4058"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Una historia verdadera desde Medellín hasta Tacuarembó</w:t>
      </w:r>
    </w:p>
    <w:p w14:paraId="2B7A1090" w14:textId="77777777" w:rsidR="000E3F0A" w:rsidRPr="00CE725D" w:rsidRDefault="000E3F0A" w:rsidP="000E3F0A">
      <w:pPr>
        <w:spacing w:before="100" w:beforeAutospacing="1" w:after="100" w:afterAutospacing="1"/>
        <w:outlineLvl w:val="2"/>
        <w:rPr>
          <w:rFonts w:eastAsia="Times New Roman" w:cs="Times New Roman"/>
          <w:b/>
          <w:bCs/>
          <w:sz w:val="27"/>
          <w:szCs w:val="27"/>
          <w:lang w:val="es-ES"/>
        </w:rPr>
      </w:pPr>
      <w:r w:rsidRPr="00CE725D">
        <w:rPr>
          <w:rFonts w:eastAsia="Times New Roman" w:cs="Times New Roman"/>
          <w:b/>
          <w:bCs/>
          <w:sz w:val="27"/>
          <w:szCs w:val="27"/>
          <w:lang w:val="es-ES"/>
        </w:rPr>
        <w:t>Prólogo</w:t>
      </w:r>
    </w:p>
    <w:p w14:paraId="04DA3EAE"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t>Hay historias que desafían el olvido. Objetos que no se resignan a ser chatarra. Esta es una de ellas: la de un fragmento fundido de un avión siniestrado que cruzó décadas y fronteras hasta descansar, silencioso, en una vitrina del Museo Ford T City de Tacuarembó. No es un objeto cualquiera: es una pieza cargada de historia, de tragedia, de nostalgia y de preguntas. Como si aquel pedazo de metal aún llevara consigo el eco del tango y el estruendo del avión que lo albergó. Como si</w:t>
      </w:r>
      <w:r>
        <w:rPr>
          <w:rFonts w:eastAsia="Times New Roman" w:cs="Times New Roman"/>
        </w:rPr>
        <w:t>,</w:t>
      </w:r>
      <w:r w:rsidRPr="00CE725D">
        <w:rPr>
          <w:rFonts w:eastAsia="Times New Roman" w:cs="Times New Roman"/>
          <w:lang w:val="es-ES"/>
        </w:rPr>
        <w:t xml:space="preserve"> en sus silencios metálicos</w:t>
      </w:r>
      <w:r>
        <w:rPr>
          <w:rFonts w:eastAsia="Times New Roman" w:cs="Times New Roman"/>
        </w:rPr>
        <w:t>,</w:t>
      </w:r>
      <w:r w:rsidRPr="00CE725D">
        <w:rPr>
          <w:rFonts w:eastAsia="Times New Roman" w:cs="Times New Roman"/>
          <w:lang w:val="es-ES"/>
        </w:rPr>
        <w:t xml:space="preserve"> guardara la voz de Gardel.</w:t>
      </w:r>
    </w:p>
    <w:p w14:paraId="43A34EEF" w14:textId="77777777" w:rsidR="000E3F0A" w:rsidRPr="00CE725D" w:rsidRDefault="000E3F0A" w:rsidP="000E3F0A">
      <w:pPr>
        <w:spacing w:after="0"/>
        <w:rPr>
          <w:rFonts w:eastAsia="Times New Roman" w:cs="Times New Roman"/>
          <w:lang w:val="es-ES"/>
        </w:rPr>
      </w:pPr>
      <w:r w:rsidRPr="00CE725D">
        <w:rPr>
          <w:rFonts w:eastAsia="Times New Roman" w:cs="Times New Roman"/>
          <w:noProof/>
          <w:lang w:val="es-ES"/>
        </w:rPr>
      </w:r>
      <w:r w:rsidR="000E3F0A" w:rsidRPr="00CE725D">
        <w:rPr>
          <w:rFonts w:eastAsia="Times New Roman" w:cs="Times New Roman"/>
          <w:noProof/>
          <w:lang w:val="es-ES"/>
        </w:rPr>
        <w:pict w14:anchorId="0E4DCC4B">
          <v:rect id="_x0000_i1026" alt="" style="width:468pt;height:.05pt;mso-width-percent:0;mso-height-percent:0;mso-width-percent:0;mso-height-percent:0" o:hralign="center" o:hrstd="t" o:hr="t" fillcolor="#a0a0a0" stroked="f"/>
        </w:pict>
      </w:r>
    </w:p>
    <w:p w14:paraId="6B1809BA"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Capítulo 1: Una vitrina en el corazón del museo</w:t>
      </w:r>
    </w:p>
    <w:p w14:paraId="143A1BC9"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En pleno corazón de Tacuarembó, ciudad que respira historia y tradición, se alza una joya patrimonial que parece suspendida en el tiempo: el Hotel Ford T City. No es solo un hospedaje, sino un auténtico santuario de reliquias mecánicas y recuerdos musicales. Al cruzar sus puertas, uno no ingresa únicamente a un edificio, sino a una experiencia. Allí, los visitantes son recibidos por una atmósfera impregnada del aroma del aceite antiguo, de la madera barnizada y del cuero envejecido por las décadas.</w:t>
      </w:r>
    </w:p>
    <w:p w14:paraId="1448A133"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En sus amplios salones, flanqueados por vitrinas relucientes, reposa con dignidad una impresionante colección de automóviles Ford T —aquellos pioneros del siglo XX que democratizaron la movilidad— meticulosamente restaurados por su dueño, Eduardo Custodio. Pero no solo hay autos. En otro rincón, como si velara en silencio, se despliega una colección envidiable de discos originales de Carlos Gardel. Aquellas carátulas desgastadas por los años parecen susurrar melodías a quienes se acercan. Tangos que siguen latiendo, que siguen doliendo.</w:t>
      </w:r>
    </w:p>
    <w:p w14:paraId="415CD753"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 xml:space="preserve">Sin embargo, hay una vitrina que capta </w:t>
      </w:r>
      <w:r>
        <w:rPr>
          <w:rFonts w:eastAsia="Times New Roman" w:cs="Times New Roman"/>
        </w:rPr>
        <w:t>l</w:t>
      </w:r>
      <w:r w:rsidRPr="00CE725D">
        <w:rPr>
          <w:rFonts w:eastAsia="Times New Roman" w:cs="Times New Roman"/>
          <w:lang w:val="es-ES"/>
        </w:rPr>
        <w:t>a atención especial. No brilla como las demás, ni exhibe la perfección cromada de un Ford. Contiene una pieza pequeña, modesta, oscura: un trozo de metal fundido. Apenas del tamaño de una mano. A su lado, un cartel discreto reza: “Fragmento del Ford Trimotor del accidente de Gardel, Medellín, 1935”.</w:t>
      </w:r>
    </w:p>
    <w:p w14:paraId="21BD7507"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t xml:space="preserve">¿Puede un objeto tan pequeño contener tanta historia? ¿Puede una pieza sin forma ni función hablarnos de un mito, de una tragedia, de un país entero? Esta es la historia de cómo ese fragmento cruzó el tiempo y el continente, para encontrar refugio en </w:t>
      </w:r>
      <w:r w:rsidRPr="00CE725D">
        <w:rPr>
          <w:rFonts w:eastAsia="Times New Roman" w:cs="Times New Roman"/>
          <w:lang w:val="es-ES"/>
        </w:rPr>
        <w:lastRenderedPageBreak/>
        <w:t>Tacuarembó. Una historia tejida con voces, documentos, casualidades y pasiones. Una historia que, como un tango bien interpretado, nos lleva desde lo más íntimo hasta lo universal.</w:t>
      </w:r>
    </w:p>
    <w:p w14:paraId="7C3F5A44" w14:textId="77777777" w:rsidR="000E3F0A" w:rsidRPr="00CE725D" w:rsidRDefault="000E3F0A" w:rsidP="000E3F0A">
      <w:pPr>
        <w:spacing w:after="0"/>
        <w:rPr>
          <w:rFonts w:eastAsia="Times New Roman" w:cs="Times New Roman"/>
          <w:lang w:val="es-ES"/>
        </w:rPr>
      </w:pPr>
      <w:r w:rsidRPr="00CE725D">
        <w:rPr>
          <w:rFonts w:eastAsia="Times New Roman" w:cs="Times New Roman"/>
          <w:noProof/>
        </w:rPr>
      </w:r>
      <w:r w:rsidR="000E3F0A" w:rsidRPr="00CE725D">
        <w:rPr>
          <w:rFonts w:eastAsia="Times New Roman" w:cs="Times New Roman"/>
          <w:noProof/>
        </w:rPr>
        <w:pict w14:anchorId="5E0C73CF">
          <v:rect id="_x0000_i1027" alt="" style="width:468pt;height:.05pt;mso-width-percent:0;mso-height-percent:0;mso-width-percent:0;mso-height-percent:0" o:hralign="center" o:hrstd="t" o:hr="t" fillcolor="#a0a0a0" stroked="f"/>
        </w:pict>
      </w:r>
    </w:p>
    <w:p w14:paraId="2576E2E8"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Capítulo 2: El último vuelo</w:t>
      </w:r>
    </w:p>
    <w:p w14:paraId="5CEBB007"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 xml:space="preserve">La mañana del 24 de junio de 1935 amaneció despejada sobre Medellín. El sol iluminaba las colinas verdes que rodeaban el pequeño pero bullicioso aeródromo Olaya Herrera. Era un día aparentemente común, pero los pasillos del aeropuerto respiraban expectación. Carlos Gardel, el ídolo continental, el “Zorzal Criollo”, estaba de paso por la ciudad, en plena gira triunfal por América Latina. Su sola presencia </w:t>
      </w:r>
      <w:r>
        <w:rPr>
          <w:rFonts w:eastAsia="Times New Roman" w:cs="Times New Roman"/>
        </w:rPr>
        <w:t>bastaba</w:t>
      </w:r>
      <w:r w:rsidRPr="00CE725D">
        <w:rPr>
          <w:rFonts w:eastAsia="Times New Roman" w:cs="Times New Roman"/>
          <w:lang w:val="es-ES"/>
        </w:rPr>
        <w:t xml:space="preserve"> para que se reunieran multitudes.</w:t>
      </w:r>
    </w:p>
    <w:p w14:paraId="58CCDCE6"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 xml:space="preserve">Gardel había conquistado los teatros, los discos, el cine. Era una leyenda viva. Aquel día abordaría un avión Ford Trimotor, uno de los modelos más avanzados de su </w:t>
      </w:r>
      <w:r>
        <w:rPr>
          <w:rFonts w:eastAsia="Times New Roman" w:cs="Times New Roman"/>
        </w:rPr>
        <w:t>época</w:t>
      </w:r>
      <w:r w:rsidRPr="00CE725D">
        <w:rPr>
          <w:rFonts w:eastAsia="Times New Roman" w:cs="Times New Roman"/>
          <w:lang w:val="es-ES"/>
        </w:rPr>
        <w:t>. Junto a él viajaban sus guitarristas, colaboradores y empresarios del espectáculo.</w:t>
      </w:r>
    </w:p>
    <w:p w14:paraId="46435406"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 xml:space="preserve">A las 14:53, el Trimotor rodó por la pista. A pocos metros, otro avión de la SCADTA se disponía a despegar. Por razones nunca </w:t>
      </w:r>
      <w:r>
        <w:rPr>
          <w:rFonts w:eastAsia="Times New Roman" w:cs="Times New Roman"/>
        </w:rPr>
        <w:t>del todo</w:t>
      </w:r>
      <w:r w:rsidRPr="00CE725D">
        <w:rPr>
          <w:rFonts w:eastAsia="Times New Roman" w:cs="Times New Roman"/>
          <w:lang w:val="es-ES"/>
        </w:rPr>
        <w:t xml:space="preserve"> aclaradas, ambos aparatos coincidieron en la pista. El resultado fue catastrófico. Colisión. Fuego. Destrucción. La voz de América había quedado atrapada en las llamas.</w:t>
      </w:r>
    </w:p>
    <w:p w14:paraId="1FFB364F"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t>Las noticias no tardaron en propagarse. La tragedia conmocionó a todo un continente. Gardel, el hombre que cantaba como nadie, había muerto. Y con él, una parte del alma latinoamericana. Pero entre los restos humeantes, algo sobrevivió…</w:t>
      </w:r>
    </w:p>
    <w:p w14:paraId="035F3D29" w14:textId="77777777" w:rsidR="000E3F0A" w:rsidRPr="00CE725D" w:rsidRDefault="000E3F0A" w:rsidP="000E3F0A">
      <w:pPr>
        <w:spacing w:after="0"/>
        <w:rPr>
          <w:rFonts w:eastAsia="Times New Roman" w:cs="Times New Roman"/>
          <w:lang w:val="es-ES"/>
        </w:rPr>
      </w:pPr>
      <w:r w:rsidRPr="00CE725D">
        <w:rPr>
          <w:rFonts w:eastAsia="Times New Roman" w:cs="Times New Roman"/>
          <w:noProof/>
        </w:rPr>
      </w:r>
      <w:r w:rsidR="000E3F0A" w:rsidRPr="00CE725D">
        <w:rPr>
          <w:rFonts w:eastAsia="Times New Roman" w:cs="Times New Roman"/>
          <w:noProof/>
        </w:rPr>
        <w:pict w14:anchorId="56F8AEF0">
          <v:rect id="_x0000_i1028" alt="" style="width:468pt;height:.05pt;mso-width-percent:0;mso-height-percent:0;mso-width-percent:0;mso-height-percent:0" o:hralign="center" o:hrstd="t" o:hr="t" fillcolor="#a0a0a0" stroked="f"/>
        </w:pict>
      </w:r>
    </w:p>
    <w:p w14:paraId="77B9F3CE"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Capítulo 3: Un fragmento entre las cenizas</w:t>
      </w:r>
    </w:p>
    <w:p w14:paraId="33CB2298"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 xml:space="preserve">Durante años, la historia del accidente se </w:t>
      </w:r>
      <w:r>
        <w:rPr>
          <w:rFonts w:eastAsia="Times New Roman" w:cs="Times New Roman"/>
        </w:rPr>
        <w:t>convirtió en</w:t>
      </w:r>
      <w:r w:rsidRPr="00CE725D">
        <w:rPr>
          <w:rFonts w:eastAsia="Times New Roman" w:cs="Times New Roman"/>
          <w:lang w:val="es-ES"/>
        </w:rPr>
        <w:t xml:space="preserve"> materia de mitos, especulaciones y homenajes. Pero entre los residuos carbonizados, un fragmento metálico logró sobrevivir. Una pieza fundida, compacta, con formas irregulares y un remache aún adherido.</w:t>
      </w:r>
    </w:p>
    <w:p w14:paraId="12FAE555"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Hilario Pérez, guitarrista y coleccionista, recibió la pieza de un marino retirado, familiar lejano de la familia González en Medellín. La conservó durante años con respeto, hasta que en una conversación con Eduardo Custodio, comprendió que su lugar estaba en el museo. Custodio, decidido a verificar su origen, llevó la pieza a la Facultad de Ingeniería para su análisis.</w:t>
      </w:r>
    </w:p>
    <w:p w14:paraId="3E3CA5A0"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lastRenderedPageBreak/>
        <w:t xml:space="preserve">Los estudios revelaron que se trataba de una aleación compatible con la </w:t>
      </w:r>
      <w:r>
        <w:rPr>
          <w:rFonts w:eastAsia="Times New Roman" w:cs="Times New Roman"/>
        </w:rPr>
        <w:t>emple</w:t>
      </w:r>
      <w:r w:rsidRPr="00CE725D">
        <w:rPr>
          <w:rFonts w:eastAsia="Times New Roman" w:cs="Times New Roman"/>
          <w:lang w:val="es-ES"/>
        </w:rPr>
        <w:t>ada en los Ford Trimotor de los años 30. El remache coincidía con los usados en fuselajes desmontables. La pieza, silenciosa, comenzaba a contar su historia.</w:t>
      </w:r>
    </w:p>
    <w:p w14:paraId="37AACA5C" w14:textId="77777777" w:rsidR="000E3F0A" w:rsidRPr="00CE725D" w:rsidRDefault="000E3F0A" w:rsidP="000E3F0A">
      <w:pPr>
        <w:spacing w:after="0"/>
        <w:rPr>
          <w:rFonts w:eastAsia="Times New Roman" w:cs="Times New Roman"/>
          <w:lang w:val="es-ES"/>
        </w:rPr>
      </w:pPr>
      <w:r w:rsidRPr="00CE725D">
        <w:rPr>
          <w:rFonts w:eastAsia="Times New Roman" w:cs="Times New Roman"/>
          <w:noProof/>
          <w:lang w:val="es-ES"/>
        </w:rPr>
      </w:r>
      <w:r w:rsidR="000E3F0A" w:rsidRPr="00CE725D">
        <w:rPr>
          <w:rFonts w:eastAsia="Times New Roman" w:cs="Times New Roman"/>
          <w:noProof/>
          <w:lang w:val="es-ES"/>
        </w:rPr>
        <w:pict w14:anchorId="6D7275A1">
          <v:rect id="_x0000_i1029" alt="" style="width:468pt;height:.05pt;mso-width-percent:0;mso-height-percent:0;mso-width-percent:0;mso-height-percent:0" o:hralign="center" o:hrstd="t" o:hr="t" fillcolor="#a0a0a0" stroked="f"/>
        </w:pict>
      </w:r>
    </w:p>
    <w:p w14:paraId="2E220018"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Capítulo 4: Hilario Pérez y la ruta de la memoria</w:t>
      </w:r>
    </w:p>
    <w:p w14:paraId="696A55EF"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Hilario no era un coleccionista más. Era un guardián de la memoria. En su casa convivían discos de pasta, fotografías y partituras. Cuando recibió la pieza, entendió que guardaba más que metal: contenía un fragmento del tiempo.</w:t>
      </w:r>
    </w:p>
    <w:p w14:paraId="2F6F9B06"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t>Décadas más tarde, el encuentro con Custodio selló un pacto de confianza. Hilario donó la pieza y parte de su colección al Hotel Museo, con la condición de preservar su historia. Así, el remache fundido encontró un nuevo destino: ser testigo visible del pasado en la ciudad natal de Gardel.</w:t>
      </w:r>
    </w:p>
    <w:p w14:paraId="679B0FEA" w14:textId="77777777" w:rsidR="000E3F0A" w:rsidRPr="00CE725D" w:rsidRDefault="000E3F0A" w:rsidP="000E3F0A">
      <w:pPr>
        <w:spacing w:after="0"/>
        <w:rPr>
          <w:rFonts w:eastAsia="Times New Roman" w:cs="Times New Roman"/>
          <w:lang w:val="es-ES"/>
        </w:rPr>
      </w:pPr>
      <w:r w:rsidRPr="00CE725D">
        <w:rPr>
          <w:rFonts w:eastAsia="Times New Roman" w:cs="Times New Roman"/>
          <w:noProof/>
          <w:lang w:val="es-ES"/>
        </w:rPr>
      </w:r>
      <w:r w:rsidR="000E3F0A" w:rsidRPr="00CE725D">
        <w:rPr>
          <w:rFonts w:eastAsia="Times New Roman" w:cs="Times New Roman"/>
          <w:noProof/>
          <w:lang w:val="es-ES"/>
        </w:rPr>
        <w:pict w14:anchorId="309DC359">
          <v:rect id="_x0000_i1030" alt="" style="width:468pt;height:.05pt;mso-width-percent:0;mso-height-percent:0;mso-width-percent:0;mso-height-percent:0" o:hralign="center" o:hrstd="t" o:hr="t" fillcolor="#a0a0a0" stroked="f"/>
        </w:pict>
      </w:r>
    </w:p>
    <w:p w14:paraId="42BE82F0"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Capítulo 5: La voz de la evidencia</w:t>
      </w:r>
    </w:p>
    <w:p w14:paraId="21B1FF7D"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La ciencia fue el siguiente paso. En los laboratorios de la Universidad de la República, se realizó un análisis técnico exhaustivo. Aleación, remache, estructura, oxidación: todo coincidía con los materiales del Ford Trimotor.</w:t>
      </w:r>
    </w:p>
    <w:p w14:paraId="44A33122"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t>Los resultados no eran absolutos, pero sí contundentes. La historia oral encontraba respaldo en la evidencia. La pieza ya no era solo un objeto de fe, sino también una evidencia sólida, una voz metálica que susurraba: “yo estuve allí”.</w:t>
      </w:r>
    </w:p>
    <w:p w14:paraId="43A0AD35" w14:textId="77777777" w:rsidR="000E3F0A" w:rsidRPr="00CE725D" w:rsidRDefault="000E3F0A" w:rsidP="000E3F0A">
      <w:pPr>
        <w:spacing w:after="0"/>
        <w:rPr>
          <w:rFonts w:eastAsia="Times New Roman" w:cs="Times New Roman"/>
          <w:lang w:val="es-ES"/>
        </w:rPr>
      </w:pPr>
      <w:r w:rsidRPr="00CE725D">
        <w:rPr>
          <w:rFonts w:eastAsia="Times New Roman" w:cs="Times New Roman"/>
          <w:noProof/>
          <w:lang w:val="es-ES"/>
        </w:rPr>
      </w:r>
      <w:r w:rsidR="000E3F0A" w:rsidRPr="00CE725D">
        <w:rPr>
          <w:rFonts w:eastAsia="Times New Roman" w:cs="Times New Roman"/>
          <w:noProof/>
          <w:lang w:val="es-ES"/>
        </w:rPr>
        <w:pict w14:anchorId="7666ED5B">
          <v:rect id="_x0000_i1031" alt="" style="width:468pt;height:.05pt;mso-width-percent:0;mso-height-percent:0;mso-width-percent:0;mso-height-percent:0" o:hralign="center" o:hrstd="t" o:hr="t" fillcolor="#a0a0a0" stroked="f"/>
        </w:pict>
      </w:r>
    </w:p>
    <w:p w14:paraId="0621AB84"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Capítulo 6: Mauricio Umaña y el puente documental</w:t>
      </w:r>
    </w:p>
    <w:p w14:paraId="54BD9196"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Mauricio Umaña, ingeniero y miembro de la Academia Colombiana de Historia Aérea, ha investigado el accidente</w:t>
      </w:r>
      <w:r>
        <w:rPr>
          <w:rFonts w:eastAsia="Times New Roman" w:cs="Times New Roman"/>
        </w:rPr>
        <w:t xml:space="preserve"> durante décadas</w:t>
      </w:r>
      <w:r w:rsidRPr="00CE725D">
        <w:rPr>
          <w:rFonts w:eastAsia="Times New Roman" w:cs="Times New Roman"/>
          <w:lang w:val="es-ES"/>
        </w:rPr>
        <w:t>. Su libro “La Verdad sobre la muerte de Carlos Gardel” reveló documentos censurados por el gobierno colombiano. Su padre, Alfonso Umaña, fue operador en SCADTA; su madre, de la familia Correa, tenía vínculos con los González de Medellín.</w:t>
      </w:r>
    </w:p>
    <w:p w14:paraId="07870EE6"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Al enterarse de la pieza, Umaña contactó a Custodio. Confirmó la historia, cotejó documentos, mapas, estructuras del avión. Su labor riguro</w:t>
      </w:r>
      <w:r>
        <w:rPr>
          <w:rFonts w:eastAsia="Times New Roman" w:cs="Times New Roman"/>
        </w:rPr>
        <w:t>s</w:t>
      </w:r>
      <w:r w:rsidRPr="00CE725D">
        <w:rPr>
          <w:rFonts w:eastAsia="Times New Roman" w:cs="Times New Roman"/>
          <w:lang w:val="es-ES"/>
        </w:rPr>
        <w:t>a aportó la dimensión histórica y técnica que selló la autenticidad probable de la pieza.</w:t>
      </w:r>
    </w:p>
    <w:p w14:paraId="63533424" w14:textId="77777777" w:rsidR="000E3F0A" w:rsidRPr="00CE725D" w:rsidRDefault="000E3F0A" w:rsidP="000E3F0A">
      <w:pPr>
        <w:spacing w:before="100" w:beforeAutospacing="1" w:after="100" w:afterAutospacing="1"/>
        <w:rPr>
          <w:rFonts w:eastAsia="Times New Roman" w:cs="Times New Roman"/>
          <w:lang w:val="es-ES"/>
        </w:rPr>
      </w:pPr>
      <w:r w:rsidRPr="00CE725D">
        <w:rPr>
          <w:rFonts w:eastAsia="Times New Roman" w:cs="Times New Roman"/>
          <w:lang w:val="es-ES"/>
        </w:rPr>
        <w:lastRenderedPageBreak/>
        <w:t xml:space="preserve">Gracias a él, el remache no es solo un vestigio. Es una conexión entre documentos ocultos, </w:t>
      </w:r>
      <w:r>
        <w:rPr>
          <w:rFonts w:eastAsia="Times New Roman" w:cs="Times New Roman"/>
        </w:rPr>
        <w:t xml:space="preserve">la </w:t>
      </w:r>
      <w:r w:rsidRPr="00CE725D">
        <w:rPr>
          <w:rFonts w:eastAsia="Times New Roman" w:cs="Times New Roman"/>
          <w:lang w:val="es-ES"/>
        </w:rPr>
        <w:t>memoria familiar y</w:t>
      </w:r>
      <w:r>
        <w:rPr>
          <w:rFonts w:eastAsia="Times New Roman" w:cs="Times New Roman"/>
        </w:rPr>
        <w:t xml:space="preserve"> los</w:t>
      </w:r>
      <w:r w:rsidRPr="00CE725D">
        <w:rPr>
          <w:rFonts w:eastAsia="Times New Roman" w:cs="Times New Roman"/>
          <w:lang w:val="es-ES"/>
        </w:rPr>
        <w:t xml:space="preserve"> hallazgos científicos. Es un puente entre Medellín y Tacuarembó.</w:t>
      </w:r>
    </w:p>
    <w:p w14:paraId="0A0437D3" w14:textId="77777777" w:rsidR="000E3F0A" w:rsidRPr="00CE725D" w:rsidRDefault="000E3F0A" w:rsidP="000E3F0A">
      <w:pPr>
        <w:spacing w:after="0"/>
        <w:rPr>
          <w:rFonts w:eastAsia="Times New Roman" w:cs="Times New Roman"/>
          <w:lang w:val="es-ES"/>
        </w:rPr>
      </w:pPr>
      <w:r w:rsidRPr="00CE725D">
        <w:rPr>
          <w:rFonts w:eastAsia="Times New Roman" w:cs="Times New Roman"/>
          <w:noProof/>
          <w:lang w:val="es-ES"/>
        </w:rPr>
      </w:r>
      <w:r w:rsidR="000E3F0A" w:rsidRPr="00CE725D">
        <w:rPr>
          <w:rFonts w:eastAsia="Times New Roman" w:cs="Times New Roman"/>
          <w:noProof/>
          <w:lang w:val="es-ES"/>
        </w:rPr>
        <w:pict w14:anchorId="2BE7E8BC">
          <v:rect id="_x0000_i1032" alt="" style="width:468pt;height:.05pt;mso-width-percent:0;mso-height-percent:0;mso-width-percent:0;mso-height-percent:0" o:hralign="center" o:hrstd="t" o:hr="t" fillcolor="#a0a0a0" stroked="f"/>
        </w:pict>
      </w:r>
    </w:p>
    <w:p w14:paraId="5EDE5EF6" w14:textId="77777777" w:rsidR="000E3F0A" w:rsidRDefault="000E3F0A" w:rsidP="000E3F0A">
      <w:pPr>
        <w:spacing w:before="100" w:beforeAutospacing="1" w:after="100" w:afterAutospacing="1"/>
        <w:outlineLvl w:val="1"/>
        <w:rPr>
          <w:rFonts w:eastAsia="Times New Roman" w:cs="Times New Roman"/>
          <w:b/>
          <w:bCs/>
          <w:sz w:val="36"/>
          <w:szCs w:val="36"/>
        </w:rPr>
      </w:pPr>
      <w:r w:rsidRPr="00CE725D">
        <w:rPr>
          <w:rFonts w:eastAsia="Times New Roman" w:cs="Times New Roman"/>
          <w:b/>
          <w:bCs/>
          <w:sz w:val="36"/>
          <w:szCs w:val="36"/>
          <w:lang w:val="es-ES"/>
        </w:rPr>
        <w:t>Epílogo: El remache que canta</w:t>
      </w:r>
    </w:p>
    <w:p w14:paraId="13EDDDE2"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En una vitrina modesta, bajo la luz tibia de una lámpara cuidadosamente posicionada, reposa una pieza fundida que podría pasar desapercibida. No tiene brillo. No tiene forma distinguible. Pero su historia habla más que mil palabras.</w:t>
      </w:r>
    </w:p>
    <w:p w14:paraId="2765EAC3"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Ese remache —pequeño y silencioso— ha sido testigo de la tragedia y la reconstrucción. Ha cruzado generaciones. Ha unido coleccionistas, ingenieros e historiadores. Y ahora, reposa como emblema de una historia viva.</w:t>
      </w:r>
    </w:p>
    <w:p w14:paraId="0BEC1582" w14:textId="77777777" w:rsidR="000E3F0A" w:rsidRDefault="000E3F0A" w:rsidP="000E3F0A">
      <w:pPr>
        <w:spacing w:before="100" w:beforeAutospacing="1" w:after="100" w:afterAutospacing="1"/>
        <w:rPr>
          <w:rFonts w:eastAsia="Times New Roman" w:cs="Times New Roman"/>
        </w:rPr>
      </w:pPr>
      <w:r w:rsidRPr="00CE725D">
        <w:rPr>
          <w:rFonts w:eastAsia="Times New Roman" w:cs="Times New Roman"/>
          <w:lang w:val="es-ES"/>
        </w:rPr>
        <w:t>Porque Gardel sigue cantando. En cada disco de pasta. En cada relato compartido. En cada visitante que, al observar ese fragmento, siente un estremecimiento. El remache no solo unía piezas metálicas. Une recuerdos, une tiempos. Y por eso canta. Canta sin voz. Pero canta.</w:t>
      </w:r>
    </w:p>
    <w:p w14:paraId="7B01C775" w14:textId="77777777" w:rsidR="000E3F0A" w:rsidRPr="00CE725D" w:rsidRDefault="000E3F0A" w:rsidP="000E3F0A">
      <w:pPr>
        <w:rPr>
          <w:lang w:val="es-ES"/>
        </w:rPr>
      </w:pPr>
    </w:p>
    <w:p w14:paraId="6561081E" w14:textId="02884329" w:rsidR="001C465C" w:rsidRPr="000E3F0A" w:rsidRDefault="001C465C" w:rsidP="000E3F0A"/>
    <w:bookmarkEnd w:id="2"/>
    <w:bookmarkEnd w:id="1"/>
    <w:bookmarkEnd w:id="0"/>
    <w:sectPr w:rsidR="001C465C" w:rsidRPr="000E3F0A" w:rsidSect="000E3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FA8F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8000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C465C"/>
    <w:rsid w:val="000E3F0A"/>
    <w:rsid w:val="001C465C"/>
    <w:rsid w:val="0085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61080A"/>
  <w15:docId w15:val="{5771892B-7D6A-F941-A87A-EAB44D03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1095</Words>
  <Characters>6242</Characters>
  <Application>Microsoft Office Word</Application>
  <DocSecurity>0</DocSecurity>
  <Lines>52</Lines>
  <Paragraphs>14</Paragraphs>
  <ScaleCrop>false</ScaleCrop>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Mauricio Umana</cp:lastModifiedBy>
  <cp:revision>2</cp:revision>
  <dcterms:created xsi:type="dcterms:W3CDTF">2025-12-02T19:03:00Z</dcterms:created>
  <dcterms:modified xsi:type="dcterms:W3CDTF">2025-12-02T21:29:00Z</dcterms:modified>
</cp:coreProperties>
</file>