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5852D">
      <w:pPr>
        <w:spacing w:after="200"/>
        <w:jc w:val="center"/>
        <w:rPr>
          <w:rFonts w:hint="default" w:ascii="Times New Roman" w:hAnsi="Times New Roman" w:eastAsia="新宋体" w:cs="Times New Roman"/>
        </w:rPr>
      </w:pPr>
      <w:r>
        <w:rPr>
          <w:rFonts w:hint="default" w:ascii="Times New Roman" w:hAnsi="Times New Roman" w:eastAsia="新宋体" w:cs="Times New Roman"/>
          <w:b/>
          <w:sz w:val="36"/>
        </w:rPr>
        <w:t>《药明白》项目简要用户需求列表</w:t>
      </w:r>
    </w:p>
    <w:p w14:paraId="633935E1">
      <w:pPr>
        <w:spacing w:after="240"/>
        <w:jc w:val="center"/>
        <w:rPr>
          <w:rFonts w:hint="default" w:ascii="Times New Roman" w:hAnsi="Times New Roman" w:eastAsia="新宋体" w:cs="Times New Roman"/>
        </w:rPr>
      </w:pPr>
      <w:r>
        <w:rPr>
          <w:rFonts w:hint="default" w:ascii="Times New Roman" w:hAnsi="Times New Roman" w:eastAsia="新宋体" w:cs="Times New Roman"/>
          <w:sz w:val="22"/>
        </w:rPr>
        <w:t>撰写：吴美昕（组长）、帅静雯、王子玥、邱涵韵</w:t>
      </w:r>
    </w:p>
    <w:p w14:paraId="05E9B7C3">
      <w:pPr>
        <w:spacing w:after="200"/>
        <w:rPr>
          <w:rFonts w:hint="default" w:ascii="Times New Roman" w:hAnsi="Times New Roman" w:eastAsia="新宋体" w:cs="Times New Roman"/>
        </w:rPr>
      </w:pPr>
      <w:r>
        <w:rPr>
          <w:rFonts w:hint="default" w:ascii="Times New Roman" w:hAnsi="Times New Roman" w:eastAsia="新宋体" w:cs="Times New Roman"/>
          <w:b/>
        </w:rPr>
        <w:t>编号说明：</w:t>
      </w:r>
      <w:r>
        <w:rPr>
          <w:rFonts w:hint="default" w:ascii="Times New Roman" w:hAnsi="Times New Roman" w:eastAsia="新宋体" w:cs="Times New Roman"/>
        </w:rPr>
        <w:t>YMB为“药明白”项目编号缩写，USR表示用户需求。</w:t>
      </w:r>
    </w:p>
    <w:tbl>
      <w:tblPr>
        <w:tblStyle w:val="33"/>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370"/>
      </w:tblGrid>
      <w:tr w14:paraId="66F1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92" w:type="dxa"/>
            <w:shd w:val="clear" w:color="auto" w:fill="D9EAF7"/>
            <w:tcMar>
              <w:top w:w="90" w:type="dxa"/>
              <w:left w:w="120" w:type="dxa"/>
              <w:bottom w:w="90" w:type="dxa"/>
              <w:right w:w="120" w:type="dxa"/>
            </w:tcMar>
          </w:tcPr>
          <w:p w14:paraId="2CC059E4">
            <w:pPr>
              <w:jc w:val="center"/>
              <w:rPr>
                <w:rFonts w:hint="default" w:ascii="Times New Roman" w:hAnsi="Times New Roman" w:eastAsia="新宋体" w:cs="Times New Roman"/>
              </w:rPr>
            </w:pPr>
            <w:r>
              <w:rPr>
                <w:rFonts w:hint="default" w:ascii="Times New Roman" w:hAnsi="Times New Roman" w:eastAsia="新宋体" w:cs="Times New Roman"/>
                <w:b/>
                <w:sz w:val="21"/>
              </w:rPr>
              <w:t>需求编号</w:t>
            </w:r>
          </w:p>
        </w:tc>
        <w:tc>
          <w:tcPr>
            <w:tcW w:w="4592" w:type="dxa"/>
            <w:shd w:val="clear" w:color="auto" w:fill="D9EAF7"/>
            <w:tcMar>
              <w:top w:w="90" w:type="dxa"/>
              <w:left w:w="120" w:type="dxa"/>
              <w:bottom w:w="90" w:type="dxa"/>
              <w:right w:w="120" w:type="dxa"/>
            </w:tcMar>
          </w:tcPr>
          <w:p w14:paraId="2CF9750D">
            <w:pPr>
              <w:jc w:val="center"/>
              <w:rPr>
                <w:rFonts w:hint="default" w:ascii="Times New Roman" w:hAnsi="Times New Roman" w:eastAsia="新宋体" w:cs="Times New Roman"/>
              </w:rPr>
            </w:pPr>
            <w:r>
              <w:rPr>
                <w:rFonts w:hint="default" w:ascii="Times New Roman" w:hAnsi="Times New Roman" w:eastAsia="新宋体" w:cs="Times New Roman"/>
                <w:b/>
                <w:sz w:val="21"/>
              </w:rPr>
              <w:t>简要用户需求</w:t>
            </w:r>
          </w:p>
        </w:tc>
      </w:tr>
      <w:tr w14:paraId="702B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5645822B">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YMB-USR-0001</w:t>
            </w:r>
          </w:p>
        </w:tc>
        <w:tc>
          <w:tcPr>
            <w:tcW w:w="7370" w:type="dxa"/>
            <w:tcMar>
              <w:top w:w="90" w:type="dxa"/>
              <w:left w:w="120" w:type="dxa"/>
              <w:bottom w:w="90" w:type="dxa"/>
              <w:right w:w="120" w:type="dxa"/>
            </w:tcMar>
            <w:vAlign w:val="center"/>
          </w:tcPr>
          <w:p w14:paraId="3C6CD6E1">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用户可创建、查看、修改和删除家庭成员信息，包括姓名、年龄阶段、体重、过敏史及家庭角色。</w:t>
            </w:r>
          </w:p>
        </w:tc>
      </w:tr>
      <w:tr w14:paraId="1E398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088C9E0B">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YMB-USR-0002</w:t>
            </w:r>
          </w:p>
        </w:tc>
        <w:tc>
          <w:tcPr>
            <w:tcW w:w="7370" w:type="dxa"/>
            <w:tcMar>
              <w:top w:w="90" w:type="dxa"/>
              <w:left w:w="120" w:type="dxa"/>
              <w:bottom w:w="90" w:type="dxa"/>
              <w:right w:w="120" w:type="dxa"/>
            </w:tcMar>
            <w:vAlign w:val="center"/>
          </w:tcPr>
          <w:p w14:paraId="4BDD6806">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用户可为不同家庭成员分别建立和管理个人药箱，并按成员查看其在用、停用及待核对药品，实现家庭药品的分类管理。</w:t>
            </w:r>
          </w:p>
        </w:tc>
      </w:tr>
      <w:tr w14:paraId="6175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4C6D7331">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YMB-USR-0003</w:t>
            </w:r>
          </w:p>
        </w:tc>
        <w:tc>
          <w:tcPr>
            <w:tcW w:w="7370" w:type="dxa"/>
            <w:tcMar>
              <w:top w:w="90" w:type="dxa"/>
              <w:left w:w="120" w:type="dxa"/>
              <w:bottom w:w="90" w:type="dxa"/>
              <w:right w:w="120" w:type="dxa"/>
            </w:tcMar>
            <w:vAlign w:val="center"/>
          </w:tcPr>
          <w:p w14:paraId="0C26A9CE">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用户可通过手机拍照或从相册选择药盒、标签及药品说明书图片进行文字识别。</w:t>
            </w:r>
          </w:p>
        </w:tc>
      </w:tr>
      <w:tr w14:paraId="56A3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5D1B0ACA">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YMB-USR-0004</w:t>
            </w:r>
          </w:p>
        </w:tc>
        <w:tc>
          <w:tcPr>
            <w:tcW w:w="7370" w:type="dxa"/>
            <w:tcMar>
              <w:top w:w="90" w:type="dxa"/>
              <w:left w:w="120" w:type="dxa"/>
              <w:bottom w:w="90" w:type="dxa"/>
              <w:right w:w="120" w:type="dxa"/>
            </w:tcMar>
            <w:vAlign w:val="center"/>
          </w:tcPr>
          <w:p w14:paraId="6043B402">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系统应展示OCR识别得到的原始文字，并允许用户在解析前检查或重新识别。</w:t>
            </w:r>
          </w:p>
        </w:tc>
      </w:tr>
      <w:tr w14:paraId="3F50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14" w:type="dxa"/>
            <w:tcMar>
              <w:top w:w="90" w:type="dxa"/>
              <w:left w:w="120" w:type="dxa"/>
              <w:bottom w:w="90" w:type="dxa"/>
              <w:right w:w="120" w:type="dxa"/>
            </w:tcMar>
            <w:vAlign w:val="center"/>
          </w:tcPr>
          <w:p w14:paraId="7FEAE420">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YMB-USR-0005</w:t>
            </w:r>
          </w:p>
        </w:tc>
        <w:tc>
          <w:tcPr>
            <w:tcW w:w="7370" w:type="dxa"/>
            <w:tcMar>
              <w:top w:w="90" w:type="dxa"/>
              <w:left w:w="120" w:type="dxa"/>
              <w:bottom w:w="90" w:type="dxa"/>
              <w:right w:w="120" w:type="dxa"/>
            </w:tcMar>
            <w:vAlign w:val="center"/>
          </w:tcPr>
          <w:p w14:paraId="693BEC6B">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系统应从识别文字中提取药品名称、规格、一次用量、服用频次、服用方式、服用时间、贮藏方式和有效期等信息。</w:t>
            </w:r>
          </w:p>
        </w:tc>
      </w:tr>
      <w:tr w14:paraId="6049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288D0A9">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YMB-USR-0006</w:t>
            </w:r>
          </w:p>
        </w:tc>
        <w:tc>
          <w:tcPr>
            <w:tcW w:w="7370" w:type="dxa"/>
            <w:tcMar>
              <w:top w:w="90" w:type="dxa"/>
              <w:left w:w="120" w:type="dxa"/>
              <w:bottom w:w="90" w:type="dxa"/>
              <w:right w:w="120" w:type="dxa"/>
            </w:tcMar>
            <w:vAlign w:val="center"/>
          </w:tcPr>
          <w:p w14:paraId="1B6FF33B">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系统应从药品说明书中提取禁忌、注意事项和特殊人群提示，并与基础药品信息分区展示。</w:t>
            </w:r>
          </w:p>
        </w:tc>
      </w:tr>
      <w:tr w14:paraId="327D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2AE7D87">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YMB-USR-0007</w:t>
            </w:r>
          </w:p>
        </w:tc>
        <w:tc>
          <w:tcPr>
            <w:tcW w:w="7370" w:type="dxa"/>
            <w:tcMar>
              <w:top w:w="90" w:type="dxa"/>
              <w:left w:w="120" w:type="dxa"/>
              <w:bottom w:w="90" w:type="dxa"/>
              <w:right w:w="120" w:type="dxa"/>
            </w:tcMar>
            <w:vAlign w:val="center"/>
          </w:tcPr>
          <w:p w14:paraId="313B57F9">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当识别结果缺少关键字段或解析质量较低时，系统应提示用户重新拍摄或手动补充，不得自动将不完整信息确认为正确。</w:t>
            </w:r>
          </w:p>
        </w:tc>
      </w:tr>
      <w:tr w14:paraId="15D3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7276B752">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YMB-USR-0008</w:t>
            </w:r>
          </w:p>
        </w:tc>
        <w:tc>
          <w:tcPr>
            <w:tcW w:w="7370" w:type="dxa"/>
            <w:tcMar>
              <w:top w:w="90" w:type="dxa"/>
              <w:left w:w="120" w:type="dxa"/>
              <w:bottom w:w="90" w:type="dxa"/>
              <w:right w:w="120" w:type="dxa"/>
            </w:tcMar>
            <w:vAlign w:val="center"/>
          </w:tcPr>
          <w:p w14:paraId="1A3944AF">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用户可在保存前修改识别结果，并须主动确认药品名称、有效成分、用量和使用者等关键信息。</w:t>
            </w:r>
          </w:p>
        </w:tc>
      </w:tr>
      <w:tr w14:paraId="0A64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4134DFFC">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YMB-USR-0009</w:t>
            </w:r>
          </w:p>
        </w:tc>
        <w:tc>
          <w:tcPr>
            <w:tcW w:w="7370" w:type="dxa"/>
            <w:tcMar>
              <w:top w:w="90" w:type="dxa"/>
              <w:left w:w="120" w:type="dxa"/>
              <w:bottom w:w="90" w:type="dxa"/>
              <w:right w:w="120" w:type="dxa"/>
            </w:tcMar>
            <w:vAlign w:val="center"/>
          </w:tcPr>
          <w:p w14:paraId="58232E07">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用户可将拍照识别并核对后的药品直接加入指定家庭成员的个人药箱，并记录库存、存放位置、生产日期、保质期和当前使用状态。</w:t>
            </w:r>
          </w:p>
        </w:tc>
      </w:tr>
      <w:tr w14:paraId="1081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6A0BA17D">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YMB-USR-0010</w:t>
            </w:r>
          </w:p>
        </w:tc>
        <w:tc>
          <w:tcPr>
            <w:tcW w:w="7370" w:type="dxa"/>
            <w:tcMar>
              <w:top w:w="90" w:type="dxa"/>
              <w:left w:w="120" w:type="dxa"/>
              <w:bottom w:w="90" w:type="dxa"/>
              <w:right w:w="120" w:type="dxa"/>
            </w:tcMar>
            <w:vAlign w:val="center"/>
          </w:tcPr>
          <w:p w14:paraId="707B6EB3">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系统应将识别出的商品名或别名匹配为知识库中的标准通用名和有效成分，并由用户确认匹配结果。</w:t>
            </w:r>
          </w:p>
        </w:tc>
      </w:tr>
      <w:tr w14:paraId="4EC0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0D993EDF">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YMB-USR-0011</w:t>
            </w:r>
          </w:p>
        </w:tc>
        <w:tc>
          <w:tcPr>
            <w:tcW w:w="7370" w:type="dxa"/>
            <w:tcMar>
              <w:top w:w="90" w:type="dxa"/>
              <w:left w:w="120" w:type="dxa"/>
              <w:bottom w:w="90" w:type="dxa"/>
              <w:right w:w="120" w:type="dxa"/>
            </w:tcMar>
            <w:vAlign w:val="center"/>
          </w:tcPr>
          <w:p w14:paraId="0116F21D">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用户可查看知识库提供的药品知识详情，包括药品基本信息、用法用量、禁忌、注意事项、特殊人群提示、饮食注意事项及相关资料来源。</w:t>
            </w:r>
          </w:p>
        </w:tc>
      </w:tr>
      <w:tr w14:paraId="2135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30692930">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YMB-USR-0012</w:t>
            </w:r>
          </w:p>
        </w:tc>
        <w:tc>
          <w:tcPr>
            <w:tcW w:w="7370" w:type="dxa"/>
            <w:tcMar>
              <w:top w:w="90" w:type="dxa"/>
              <w:left w:w="120" w:type="dxa"/>
              <w:bottom w:w="90" w:type="dxa"/>
              <w:right w:w="120" w:type="dxa"/>
            </w:tcMar>
            <w:vAlign w:val="center"/>
          </w:tcPr>
          <w:p w14:paraId="0DCC551D">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用户可按药品通用名、商品名或有效成分检索用药知识库。</w:t>
            </w:r>
          </w:p>
        </w:tc>
      </w:tr>
      <w:tr w14:paraId="4526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1AAAA54A">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YMB-USR-0013</w:t>
            </w:r>
          </w:p>
        </w:tc>
        <w:tc>
          <w:tcPr>
            <w:tcW w:w="7370" w:type="dxa"/>
            <w:tcMar>
              <w:top w:w="90" w:type="dxa"/>
              <w:left w:w="120" w:type="dxa"/>
              <w:bottom w:w="90" w:type="dxa"/>
              <w:right w:w="120" w:type="dxa"/>
            </w:tcMar>
            <w:vAlign w:val="center"/>
          </w:tcPr>
          <w:p w14:paraId="74C5BBC8">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在新增药品保存到成员药箱前，</w:t>
            </w:r>
            <w:r>
              <w:rPr>
                <w:rFonts w:hint="default" w:ascii="Times New Roman" w:hAnsi="Times New Roman" w:eastAsia="新宋体" w:cs="Times New Roman"/>
                <w:sz w:val="20"/>
              </w:rPr>
              <w:t>系统应结合用药知识库，根据新增药品及该成员当前在用药品提供相关用药知识提示，并检查潜在药物相互作用。</w:t>
            </w:r>
          </w:p>
        </w:tc>
      </w:tr>
      <w:tr w14:paraId="427E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4CDBB28A">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YMB-USR-0014</w:t>
            </w:r>
          </w:p>
        </w:tc>
        <w:tc>
          <w:tcPr>
            <w:tcW w:w="7370" w:type="dxa"/>
            <w:tcMar>
              <w:top w:w="90" w:type="dxa"/>
              <w:left w:w="120" w:type="dxa"/>
              <w:bottom w:w="90" w:type="dxa"/>
              <w:right w:w="120" w:type="dxa"/>
            </w:tcMar>
            <w:vAlign w:val="center"/>
          </w:tcPr>
          <w:p w14:paraId="72142C5D">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当发现潜在药物相互作用时，系统应展示涉及药品、风险等级、可能影响、标准处置建议和对应依据。</w:t>
            </w:r>
          </w:p>
        </w:tc>
      </w:tr>
      <w:tr w14:paraId="0479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0DA1371">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YMB-USR-0015</w:t>
            </w:r>
          </w:p>
        </w:tc>
        <w:tc>
          <w:tcPr>
            <w:tcW w:w="7370" w:type="dxa"/>
            <w:tcMar>
              <w:top w:w="90" w:type="dxa"/>
              <w:left w:w="120" w:type="dxa"/>
              <w:bottom w:w="90" w:type="dxa"/>
              <w:right w:w="120" w:type="dxa"/>
            </w:tcMar>
            <w:vAlign w:val="center"/>
          </w:tcPr>
          <w:p w14:paraId="031D612A">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对于未检索到相互作用记录的药品组合，系统应提示“暂未发现已收录风险”，不得表述为绝对安全。</w:t>
            </w:r>
          </w:p>
        </w:tc>
      </w:tr>
      <w:tr w14:paraId="7CE9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7BDECDF3">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YMB-USR-0016</w:t>
            </w:r>
          </w:p>
        </w:tc>
        <w:tc>
          <w:tcPr>
            <w:tcW w:w="7370" w:type="dxa"/>
            <w:tcMar>
              <w:top w:w="90" w:type="dxa"/>
              <w:left w:w="120" w:type="dxa"/>
              <w:bottom w:w="90" w:type="dxa"/>
              <w:right w:w="120" w:type="dxa"/>
            </w:tcMar>
            <w:vAlign w:val="center"/>
          </w:tcPr>
          <w:p w14:paraId="17C6BA66">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用户可查看药品与酒精、葡萄柚、牛奶等知识库已收录食物或饮品之间的注意事项。</w:t>
            </w:r>
          </w:p>
        </w:tc>
      </w:tr>
      <w:tr w14:paraId="698E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560F0528">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YMB-USR-0017</w:t>
            </w:r>
          </w:p>
        </w:tc>
        <w:tc>
          <w:tcPr>
            <w:tcW w:w="7370" w:type="dxa"/>
            <w:tcMar>
              <w:top w:w="90" w:type="dxa"/>
              <w:left w:w="120" w:type="dxa"/>
              <w:bottom w:w="90" w:type="dxa"/>
              <w:right w:w="120" w:type="dxa"/>
            </w:tcMar>
            <w:vAlign w:val="center"/>
          </w:tcPr>
          <w:p w14:paraId="49380B0D">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系统应结合家庭成员的年龄阶段、过敏史等已填写信息，展示知识库中已收录的儿童、老人及过敏人群风险提示。</w:t>
            </w:r>
          </w:p>
        </w:tc>
      </w:tr>
      <w:tr w14:paraId="03C4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11A12710">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YMB-USR-0018</w:t>
            </w:r>
          </w:p>
        </w:tc>
        <w:tc>
          <w:tcPr>
            <w:tcW w:w="7370" w:type="dxa"/>
            <w:tcMar>
              <w:top w:w="90" w:type="dxa"/>
              <w:left w:w="120" w:type="dxa"/>
              <w:bottom w:w="90" w:type="dxa"/>
              <w:right w:w="120" w:type="dxa"/>
            </w:tcMar>
            <w:vAlign w:val="center"/>
          </w:tcPr>
          <w:p w14:paraId="22B9DA58">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出现风险提示时，用户可查看来源名称、说明书原文、所属章节、资料版本和更新时间。</w:t>
            </w:r>
          </w:p>
        </w:tc>
      </w:tr>
      <w:tr w14:paraId="5B14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6BC4BCDE">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YMB-USR-0019</w:t>
            </w:r>
          </w:p>
        </w:tc>
        <w:tc>
          <w:tcPr>
            <w:tcW w:w="7370" w:type="dxa"/>
            <w:tcMar>
              <w:top w:w="90" w:type="dxa"/>
              <w:left w:w="120" w:type="dxa"/>
              <w:bottom w:w="90" w:type="dxa"/>
              <w:right w:w="120" w:type="dxa"/>
            </w:tcMar>
            <w:vAlign w:val="center"/>
          </w:tcPr>
          <w:p w14:paraId="08289CEF">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出现高风险提示时，系统应建议用户咨询医生或药师，不得提供自行停药、换药或调整剂量的结论。</w:t>
            </w:r>
          </w:p>
        </w:tc>
      </w:tr>
      <w:tr w14:paraId="0EAF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037CDEFA">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YMB-USR-0020</w:t>
            </w:r>
          </w:p>
        </w:tc>
        <w:tc>
          <w:tcPr>
            <w:tcW w:w="7370" w:type="dxa"/>
            <w:tcMar>
              <w:top w:w="90" w:type="dxa"/>
              <w:left w:w="120" w:type="dxa"/>
              <w:bottom w:w="90" w:type="dxa"/>
              <w:right w:w="120" w:type="dxa"/>
            </w:tcMar>
            <w:vAlign w:val="center"/>
          </w:tcPr>
          <w:p w14:paraId="60D3FFB1">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用户可在阅读并确认风险提示后决定暂不加入或继续加入药箱，系统应保存用户的确认状态。</w:t>
            </w:r>
          </w:p>
        </w:tc>
      </w:tr>
      <w:tr w14:paraId="4D6A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3FECF17A">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YMB-USR-0021</w:t>
            </w:r>
          </w:p>
        </w:tc>
        <w:tc>
          <w:tcPr>
            <w:tcW w:w="7370" w:type="dxa"/>
            <w:tcMar>
              <w:top w:w="90" w:type="dxa"/>
              <w:left w:w="120" w:type="dxa"/>
              <w:bottom w:w="90" w:type="dxa"/>
              <w:right w:w="120" w:type="dxa"/>
            </w:tcMar>
            <w:vAlign w:val="center"/>
          </w:tcPr>
          <w:p w14:paraId="5D0DB5E6">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系统应在家庭药箱中集中展示每位家庭成员的在用药品、待核对药品及相关用药提示，并支持查看药品详情和知识提示详情。</w:t>
            </w:r>
          </w:p>
        </w:tc>
      </w:tr>
      <w:tr w14:paraId="70D9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749495F6">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YMB-USR-0022</w:t>
            </w:r>
          </w:p>
        </w:tc>
        <w:tc>
          <w:tcPr>
            <w:tcW w:w="7370" w:type="dxa"/>
            <w:tcMar>
              <w:top w:w="90" w:type="dxa"/>
              <w:left w:w="120" w:type="dxa"/>
              <w:bottom w:w="90" w:type="dxa"/>
              <w:right w:w="120" w:type="dxa"/>
            </w:tcMar>
            <w:vAlign w:val="center"/>
          </w:tcPr>
          <w:p w14:paraId="3D385E01">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当药品被新增、删除、修改使用者或切换在用状态时，系统应重新检查该成员药箱中的组合用药风险。</w:t>
            </w:r>
          </w:p>
        </w:tc>
      </w:tr>
      <w:tr w14:paraId="2F5B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D673BA3">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YMB-USR-0023</w:t>
            </w:r>
          </w:p>
        </w:tc>
        <w:tc>
          <w:tcPr>
            <w:tcW w:w="7370" w:type="dxa"/>
            <w:tcMar>
              <w:top w:w="90" w:type="dxa"/>
              <w:left w:w="120" w:type="dxa"/>
              <w:bottom w:w="90" w:type="dxa"/>
              <w:right w:w="120" w:type="dxa"/>
            </w:tcMar>
            <w:vAlign w:val="center"/>
          </w:tcPr>
          <w:p w14:paraId="15B6D2C1">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系统应提示药品信息待核对、库存不足、即将过期或已经过期等药箱管理状态。</w:t>
            </w:r>
          </w:p>
        </w:tc>
      </w:tr>
      <w:tr w14:paraId="45A9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30175B37">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YMB-USR-0024</w:t>
            </w:r>
          </w:p>
        </w:tc>
        <w:tc>
          <w:tcPr>
            <w:tcW w:w="7370" w:type="dxa"/>
            <w:tcMar>
              <w:top w:w="90" w:type="dxa"/>
              <w:left w:w="120" w:type="dxa"/>
              <w:bottom w:w="90" w:type="dxa"/>
              <w:right w:w="120" w:type="dxa"/>
            </w:tcMar>
            <w:vAlign w:val="center"/>
          </w:tcPr>
          <w:p w14:paraId="140E8501">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用户可为指定家庭成员和具体药品创建、查看、停用或删除服药提醒，并设置时间、剂量及餐前餐后信息。</w:t>
            </w:r>
          </w:p>
        </w:tc>
      </w:tr>
      <w:tr w14:paraId="6A4D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54EAC0EE">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YMB-USR-0025</w:t>
            </w:r>
          </w:p>
        </w:tc>
        <w:tc>
          <w:tcPr>
            <w:tcW w:w="7370" w:type="dxa"/>
            <w:tcMar>
              <w:top w:w="90" w:type="dxa"/>
              <w:left w:w="120" w:type="dxa"/>
              <w:bottom w:w="90" w:type="dxa"/>
              <w:right w:w="120" w:type="dxa"/>
            </w:tcMar>
            <w:vAlign w:val="center"/>
          </w:tcPr>
          <w:p w14:paraId="2325612C">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提醒页面应展示与本次服药直接相关的简短注意事项，并允许用户查看完整知识依据。</w:t>
            </w:r>
          </w:p>
        </w:tc>
      </w:tr>
      <w:tr w14:paraId="5CA0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5AF45F7">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YMB-USR-0026</w:t>
            </w:r>
          </w:p>
        </w:tc>
        <w:tc>
          <w:tcPr>
            <w:tcW w:w="7370" w:type="dxa"/>
            <w:tcMar>
              <w:top w:w="90" w:type="dxa"/>
              <w:left w:w="120" w:type="dxa"/>
              <w:bottom w:w="90" w:type="dxa"/>
              <w:right w:w="120" w:type="dxa"/>
            </w:tcMar>
            <w:vAlign w:val="center"/>
          </w:tcPr>
          <w:p w14:paraId="160D94F8">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用户可确认已服药并生成服药记录，也可撤销误操作；系统应防止同一提醒在同一天被重复确认。</w:t>
            </w:r>
          </w:p>
        </w:tc>
      </w:tr>
      <w:tr w14:paraId="0612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7C35882B">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YMB-USR-0027</w:t>
            </w:r>
          </w:p>
        </w:tc>
        <w:tc>
          <w:tcPr>
            <w:tcW w:w="7370" w:type="dxa"/>
            <w:tcMar>
              <w:top w:w="90" w:type="dxa"/>
              <w:left w:w="120" w:type="dxa"/>
              <w:bottom w:w="90" w:type="dxa"/>
              <w:right w:w="120" w:type="dxa"/>
            </w:tcMar>
            <w:vAlign w:val="center"/>
          </w:tcPr>
          <w:p w14:paraId="253D1803">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用户可按家庭成员、药品和日期范围查询历史服药记录及每日用药完成情况。</w:t>
            </w:r>
          </w:p>
        </w:tc>
      </w:tr>
      <w:tr w14:paraId="45FC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1D48D19">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YMB-USR-0028</w:t>
            </w:r>
          </w:p>
        </w:tc>
        <w:tc>
          <w:tcPr>
            <w:tcW w:w="7370" w:type="dxa"/>
            <w:tcMar>
              <w:top w:w="90" w:type="dxa"/>
              <w:left w:w="120" w:type="dxa"/>
              <w:bottom w:w="90" w:type="dxa"/>
              <w:right w:w="120" w:type="dxa"/>
            </w:tcMar>
            <w:vAlign w:val="center"/>
          </w:tcPr>
          <w:p w14:paraId="5CE51430">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儿童照护者可记录儿童喂药时间、药品、剂量、体温、记录人和备注，供家庭成员协同查看。</w:t>
            </w:r>
          </w:p>
        </w:tc>
      </w:tr>
      <w:tr w14:paraId="0B11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0E88C7ED">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YMB-USR-0029</w:t>
            </w:r>
          </w:p>
        </w:tc>
        <w:tc>
          <w:tcPr>
            <w:tcW w:w="7370" w:type="dxa"/>
            <w:tcMar>
              <w:top w:w="90" w:type="dxa"/>
              <w:left w:w="120" w:type="dxa"/>
              <w:bottom w:w="90" w:type="dxa"/>
              <w:right w:w="120" w:type="dxa"/>
            </w:tcMar>
            <w:vAlign w:val="center"/>
          </w:tcPr>
          <w:p w14:paraId="29D2A7A8">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老人模式应使用大字号、高对比度和简化操作，并支持播报已经核对的药品名称、用法和安全提醒。</w:t>
            </w:r>
          </w:p>
        </w:tc>
      </w:tr>
      <w:tr w14:paraId="3E58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4BADE4AE">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YMB-USR-0030</w:t>
            </w:r>
          </w:p>
        </w:tc>
        <w:tc>
          <w:tcPr>
            <w:tcW w:w="7370" w:type="dxa"/>
            <w:tcMar>
              <w:top w:w="90" w:type="dxa"/>
              <w:left w:w="120" w:type="dxa"/>
              <w:bottom w:w="90" w:type="dxa"/>
              <w:right w:w="120" w:type="dxa"/>
            </w:tcMar>
            <w:vAlign w:val="center"/>
          </w:tcPr>
          <w:p w14:paraId="6D4AF46D">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系统应明确说明本产品用于说明书整理、知识查询、风险提示、提醒和记录，不提供诊断、处方或药品推荐。</w:t>
            </w:r>
          </w:p>
        </w:tc>
      </w:tr>
      <w:tr w14:paraId="74C4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2E2CEC68">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YMB-USR-0031</w:t>
            </w:r>
          </w:p>
        </w:tc>
        <w:tc>
          <w:tcPr>
            <w:tcW w:w="7370" w:type="dxa"/>
            <w:tcMar>
              <w:top w:w="90" w:type="dxa"/>
              <w:left w:w="120" w:type="dxa"/>
              <w:bottom w:w="90" w:type="dxa"/>
              <w:right w:w="120" w:type="dxa"/>
            </w:tcMar>
            <w:vAlign w:val="center"/>
          </w:tcPr>
          <w:p w14:paraId="620A1E65">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知识库维护人员可新增、修改、停用药品知识和相互作用规则，并记录来源、版本、审核状态及更新时间。</w:t>
            </w:r>
          </w:p>
        </w:tc>
      </w:tr>
      <w:tr w14:paraId="5F20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Mar>
              <w:top w:w="90" w:type="dxa"/>
              <w:left w:w="120" w:type="dxa"/>
              <w:bottom w:w="90" w:type="dxa"/>
              <w:right w:w="120" w:type="dxa"/>
            </w:tcMar>
            <w:vAlign w:val="center"/>
          </w:tcPr>
          <w:p w14:paraId="15D8E2B7">
            <w:pPr>
              <w:spacing w:after="0" w:line="276" w:lineRule="auto"/>
              <w:jc w:val="center"/>
              <w:rPr>
                <w:rFonts w:hint="default" w:ascii="Times New Roman" w:hAnsi="Times New Roman" w:eastAsia="新宋体" w:cs="Times New Roman"/>
              </w:rPr>
            </w:pPr>
            <w:r>
              <w:rPr>
                <w:rFonts w:hint="default" w:ascii="Times New Roman" w:hAnsi="Times New Roman" w:eastAsia="新宋体" w:cs="Times New Roman"/>
                <w:sz w:val="20"/>
              </w:rPr>
              <w:t>YMB-USR-0032</w:t>
            </w:r>
          </w:p>
        </w:tc>
        <w:tc>
          <w:tcPr>
            <w:tcW w:w="7370" w:type="dxa"/>
            <w:tcMar>
              <w:top w:w="90" w:type="dxa"/>
              <w:left w:w="120" w:type="dxa"/>
              <w:bottom w:w="90" w:type="dxa"/>
              <w:right w:w="120" w:type="dxa"/>
            </w:tcMar>
            <w:vAlign w:val="center"/>
          </w:tcPr>
          <w:p w14:paraId="2CAEC6DD">
            <w:pPr>
              <w:spacing w:after="0" w:line="276" w:lineRule="auto"/>
              <w:jc w:val="left"/>
              <w:rPr>
                <w:rFonts w:hint="default" w:ascii="Times New Roman" w:hAnsi="Times New Roman" w:eastAsia="新宋体" w:cs="Times New Roman"/>
              </w:rPr>
            </w:pPr>
            <w:r>
              <w:rPr>
                <w:rFonts w:hint="default" w:ascii="Times New Roman" w:hAnsi="Times New Roman" w:eastAsia="新宋体" w:cs="Times New Roman"/>
                <w:sz w:val="20"/>
              </w:rPr>
              <w:t>系统应区分用户录入信息、OCR识别信息和知识库信息，知识库更新不得覆盖用户已确认的历史记录。</w:t>
            </w:r>
          </w:p>
        </w:tc>
      </w:tr>
    </w:tbl>
    <w:p w14:paraId="21C585B9">
      <w:pPr>
        <w:rPr>
          <w:rFonts w:hint="default" w:ascii="Times New Roman" w:hAnsi="Times New Roman" w:eastAsia="新宋体" w:cs="Times New Roman"/>
        </w:rPr>
      </w:pPr>
      <w:bookmarkStart w:id="0" w:name="_GoBack"/>
      <w:bookmarkEnd w:id="0"/>
    </w:p>
    <w:sectPr>
      <w:footerReference r:id="rId5" w:type="default"/>
      <w:pgSz w:w="11906" w:h="16838"/>
      <w:pgMar w:top="1191"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A6194">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ED3D4F"/>
    <w:rsid w:val="39041F28"/>
    <w:rsid w:val="54AE3B3F"/>
    <w:rsid w:val="703B4A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1447</Words>
  <Characters>1807</Characters>
  <Lines>0</Lines>
  <Paragraphs>0</Paragraphs>
  <TotalTime>3</TotalTime>
  <ScaleCrop>false</ScaleCrop>
  <LinksUpToDate>false</LinksUpToDate>
  <CharactersWithSpaces>1807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吴美昕、帅静雯、邱涵韵、王子玥</dc:creator>
  <dc:description>generated by python-docx</dc:description>
  <cp:lastModifiedBy>海绵宝宝.</cp:lastModifiedBy>
  <dcterms:modified xsi:type="dcterms:W3CDTF">2026-09-03T11:09:01Z</dcterms:modified>
  <dc:subject>问题求解实战课程项目</dc:subject>
  <dc:title>《药明白》项目简要用户需求列表</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eyJoZGlkIjoiMzEwNTM5NzYwMDRjMzkwZTVkZjY2ODkwMGIxNGU0OTUiLCJ1c2VySWQiOiI2ODI1NTIxMTIifQ==</vt:lpwstr>
  </property>
  <property fmtid="{D5CDD505-2E9C-101B-9397-08002B2CF9AE}" pid="3" name="KSOProductBuildVer">
    <vt:lpwstr>2052-12.1.0.28043</vt:lpwstr>
  </property>
  <property fmtid="{D5CDD505-2E9C-101B-9397-08002B2CF9AE}" pid="4" name="ICV">
    <vt:lpwstr>8DA859C143154AD3B9AD957AFF3DE1F6_12</vt:lpwstr>
  </property>
</Properties>
</file>