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微软雅黑"/>
          <w:b/>
          <w:color w:val="2C3E50"/>
          <w:sz w:val="44"/>
        </w:rPr>
        <w:t>毛泽昂</w:t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5D6D7E"/>
          <w:sz w:val="20"/>
        </w:rPr>
        <w:t>男 | 27岁 | 杭州 | 199****6131 | 2660134803@qq.com</w:t>
      </w:r>
    </w:p>
    <w:p>
      <w:pPr>
        <w:spacing w:after="240"/>
        <w:jc w:val="center"/>
      </w:pPr>
      <w:r>
        <w:rPr>
          <w:rFonts w:ascii="Calibri" w:hAnsi="Calibri" w:eastAsia="微软雅黑"/>
          <w:b w:val="0"/>
          <w:color w:val="5D6D7E"/>
          <w:sz w:val="20"/>
        </w:rPr>
        <w:t>求职意向：量化研究员 / 量化策略分析师  |  期望薪资：14-20K  |  期望城市：杭州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D5D8D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个人优势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4年实盘交易经验，熟悉A股/期货/美股跨市场交易，具备真实风控体感与市场微观结构认知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现任量化研究员，具备「研究假设→数据分析→回测验证→实盘归因」的完整策略研发闭环能力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深耕A股短线策略：集合竞价选股、连板放量突破、MACD水上金叉监控，具备可验证的回测样本与归因报告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独立搭建量化基础设施：行情数据库（亿级数据迁移）、Python回测框架、盘中实时监控平台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扎实的Python数据处理能力（pandas/numpy/matplotlib/akshare），熟悉MySQL/SQLite数据管理与SQL查询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技术栈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编程与数据分析：</w:t>
      </w:r>
      <w:r>
        <w:rPr>
          <w:rFonts w:ascii="Calibri" w:hAnsi="Calibri" w:eastAsia="微软雅黑"/>
          <w:b w:val="0"/>
          <w:sz w:val="20"/>
        </w:rPr>
        <w:t>Python（pandas / numpy / matplotlib / akshare）| Pine Script（TradingView）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数据库：</w:t>
      </w:r>
      <w:r>
        <w:rPr>
          <w:rFonts w:ascii="Calibri" w:hAnsi="Calibri" w:eastAsia="微软雅黑"/>
          <w:b w:val="0"/>
          <w:sz w:val="20"/>
        </w:rPr>
        <w:t>MySQL | SQLite | PostgreSQL | SQL（熟练查询与优化）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数据工具：</w:t>
      </w:r>
      <w:r>
        <w:rPr>
          <w:rFonts w:ascii="Calibri" w:hAnsi="Calibri" w:eastAsia="微软雅黑"/>
          <w:b w:val="0"/>
          <w:sz w:val="20"/>
        </w:rPr>
        <w:t>Tushare | AkShare | 米筐量化平台 | 通达信公式语言 | TQ接口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工程化：</w:t>
      </w:r>
      <w:r>
        <w:rPr>
          <w:rFonts w:ascii="Calibri" w:hAnsi="Calibri" w:eastAsia="微软雅黑"/>
          <w:b w:val="0"/>
          <w:sz w:val="20"/>
        </w:rPr>
        <w:t>Docker | Flask | APScheduler | SQLAlchemy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策略方法：</w:t>
      </w:r>
      <w:r>
        <w:rPr>
          <w:rFonts w:ascii="Calibri" w:hAnsi="Calibri" w:eastAsia="微软雅黑"/>
          <w:b w:val="0"/>
          <w:sz w:val="20"/>
        </w:rPr>
        <w:t>多因子选股 | 量价分析 | 集合竞价 | 趋势跟踪 | 风险归因 | 样本内外验证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工作经历</w:t>
      </w:r>
    </w:p>
    <w:p>
      <w:pPr>
        <w:spacing w:before="160" w:after="40"/>
      </w:pPr>
      <w:r>
        <w:rPr>
          <w:rFonts w:ascii="Calibri" w:hAnsi="Calibri" w:eastAsia="微软雅黑"/>
          <w:b/>
          <w:sz w:val="22"/>
        </w:rPr>
        <w:t>浙江沐龙实业集团有限责任公司</w:t>
      </w:r>
      <w:r>
        <w:rPr>
          <w:rFonts w:ascii="Calibri" w:hAnsi="Calibri" w:eastAsia="微软雅黑"/>
          <w:b w:val="0"/>
          <w:sz w:val="20"/>
        </w:rPr>
        <w:t xml:space="preserve">  |  量化研究员  |  2025.05 - 至今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A股短线策略研发与回测：</w:t>
      </w:r>
      <w:r>
        <w:rPr>
          <w:rFonts w:ascii="Calibri" w:hAnsi="Calibri" w:eastAsia="微软雅黑"/>
          <w:b w:val="0"/>
          <w:sz w:val="20"/>
        </w:rPr>
        <w:t>集合竞价策略（米筐平台）：连板过滤 + 集合竞价量异常（倍量≥2倍/缩量≤0.5倍且高开&gt;5%），构建可复现的短线选股信号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放量突破策略：ADX&gt;20 + 成交量&gt;1.2倍20日均量 + 站上20日均线 + 突破60日新高的四条件复合选股，全池未触发时将「空仓等待」作为有效结论写入交易计划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季节性回测：按月（7/8/9月）回测大盘及板块指数胜率，验证日线重算与月线法一致性（误差&lt;0.01%），形成不同市场环境下的择时决策依据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T+0 ETF波段策略：构建ETF交易池（港股ETF/香港证券/恒生科技），设定同赛道合并仓位上限30%的集中度约束；三年日线代理回测筛选最优标的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Python回测框架：</w:t>
      </w:r>
      <w:r>
        <w:rPr>
          <w:rFonts w:ascii="Calibri" w:hAnsi="Calibri" w:eastAsia="微软雅黑"/>
          <w:b w:val="0"/>
          <w:sz w:val="20"/>
        </w:rPr>
        <w:t>基于akshare+pandas+matplotlib搭建本地回测框架，完成策略从Pine Script到Python的迁移验证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跨品种验证：铜期货日线vs60分钟级别测试，识别策略在周期性商品上失效（夏普约-0.20、最大回撤约-80%），判定60分钟级别短期盈利为样本量不足的统计假象，形成清晰的策略适用边界认知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回测计入万3.5手续费+2 tick滑点，输出可落地的实盘策略参数方案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数据处理与因子构建：</w:t>
      </w:r>
      <w:r>
        <w:rPr>
          <w:rFonts w:ascii="Calibri" w:hAnsi="Calibri" w:eastAsia="微软雅黑"/>
          <w:b w:val="0"/>
          <w:sz w:val="20"/>
        </w:rPr>
        <w:t>搭建A股量化行情数据库：设计14张表覆盖日线/分钟/Tick/财务三表/复权因子/股票基础信息/交易日历，主导存储选型演进路线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完成1.97亿行数据迁移（195分钟），发现3~7月覆盖仅58%的漏股问题并定位根因，制定数据口径规则（统一代码格式、复权分离、Tick主键防丢单）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自编集合竞价量能指标：将同花顺公式改写为通达信指标，绘制今昨竞价量对比柱，解决历史竞价数据缺失问题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风控与归因体系：</w:t>
      </w:r>
      <w:r>
        <w:rPr>
          <w:rFonts w:ascii="Calibri" w:hAnsi="Calibri" w:eastAsia="微软雅黑"/>
          <w:b w:val="0"/>
          <w:sz w:val="20"/>
        </w:rPr>
        <w:t>自研趋势跟踪策略（Pine Script）：RSI双阈值（30/50）入场 + WMA动态止损 + 硬止损（买入价×95%），基于520笔回测样本数据化推导风控规则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60分钟时间止损（≤60分钟胜率82% vs 超时31%）、14:55强制清仓禁隔夜（日内胜率68% vs 隔夜50%）、开盘14分钟噪声段过滤、单日熔断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制度化复盘：撰写周度投资周报与月度投资总结，8月复盘后新增三条硬约束——浮亏不加仓、卖出当日不追高回补、月末利润保护降仓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诚实记录策略局限：未扣手续费/滑点、一字板开板坑、8月数据断层、样本量偏小，体现对过拟合与数据偏差的认知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跨市场交易：</w:t>
      </w:r>
      <w:r>
        <w:rPr>
          <w:rFonts w:ascii="Calibri" w:hAnsi="Calibri" w:eastAsia="微软雅黑"/>
          <w:b w:val="0"/>
          <w:sz w:val="20"/>
        </w:rPr>
        <w:t>美股：以SOXL（三倍做多半导体ETF）为主要标的，执行「恐慌性下跌抄底+反弹兑现」短线策略；跟踪SMCI等个股财报事件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加密资产：以ETH为主要标的，回调分批做多，不碰山寨币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宏观研究：跟踪美债收益率曲线倒挂、降息预期、原油价格与对冲基金仓位对风险资产的传导路径</w:t>
      </w:r>
    </w:p>
    <w:p>
      <w:pPr>
        <w:spacing w:after="60"/>
      </w:pPr>
      <w:r>
        <w:rPr>
          <w:rFonts w:ascii="Calibri" w:hAnsi="Calibri" w:eastAsia="微软雅黑"/>
          <w:b/>
          <w:sz w:val="20"/>
        </w:rPr>
        <w:t>监控工具：</w:t>
      </w:r>
      <w:r>
        <w:rPr>
          <w:rFonts w:ascii="Calibri" w:hAnsi="Calibri" w:eastAsia="微软雅黑"/>
          <w:b w:val="0"/>
          <w:sz w:val="20"/>
        </w:rPr>
        <w:t>通达信选股公式体系：创业板强势股筛选、MACD水上复合筛选、水上死叉选股，多条件逐步迭代</w:t>
      </w:r>
    </w:p>
    <w:p>
      <w:pPr>
        <w:spacing w:after="60"/>
      </w:pPr>
      <w:r>
        <w:rPr>
          <w:rFonts w:ascii="Calibri" w:hAnsi="Calibri" w:eastAsia="微软雅黑"/>
          <w:b w:val="0"/>
          <w:sz w:val="20"/>
        </w:rPr>
        <w:t>TQ Python盘中实时监控：对接通达信TQ接口，监控约100只自选股30/60分钟MACD金叉信号，触发记录本地存档（标的、价格、时间、触发级别），实现盘中自动预警</w:t>
      </w:r>
    </w:p>
    <w:p>
      <w:pPr>
        <w:spacing w:before="200" w:after="40"/>
      </w:pPr>
      <w:r>
        <w:rPr>
          <w:rFonts w:ascii="Calibri" w:hAnsi="Calibri" w:eastAsia="微软雅黑"/>
          <w:b/>
          <w:sz w:val="22"/>
        </w:rPr>
        <w:t>浙江海亮股份有限公司</w:t>
      </w:r>
      <w:r>
        <w:rPr>
          <w:rFonts w:ascii="Calibri" w:hAnsi="Calibri" w:eastAsia="微软雅黑"/>
          <w:b w:val="0"/>
          <w:sz w:val="20"/>
        </w:rPr>
        <w:t xml:space="preserve">  |  证券交易员  |  2024.04 - 2025.01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负责SHFE/LME/COMEX等市场的套保套利交易执行，策略包括跨月套利、跨市套利、期现套利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每日晨评撰写，对行情趋势及风险敞口进行预判；管理期货及现货头寸，确保头寸与公司风险管理政策相符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及时响应突发情况，将敞口控制在可控范围内；优化成交点位，熟练掌握国内外各类交易软件</w:t>
      </w:r>
    </w:p>
    <w:p>
      <w:pPr>
        <w:spacing w:before="200" w:after="40"/>
      </w:pPr>
      <w:r>
        <w:rPr>
          <w:rFonts w:ascii="Calibri" w:hAnsi="Calibri" w:eastAsia="微软雅黑"/>
          <w:b/>
          <w:sz w:val="22"/>
        </w:rPr>
        <w:t>浙江秉越资产管理有限公司</w:t>
      </w:r>
      <w:r>
        <w:rPr>
          <w:rFonts w:ascii="Calibri" w:hAnsi="Calibri" w:eastAsia="微软雅黑"/>
          <w:b w:val="0"/>
          <w:sz w:val="20"/>
        </w:rPr>
        <w:t xml:space="preserve">  |  证券交易员  |  2022.11 - 2024.01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执行期货/股票交易指令，13个月零错误；通过量化回测改进交易模型，完善个人期货交易体系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提示大盘风险，帮助大账户减少300万以上亏损；9个月测试周期：最大回撤9%，收益率100%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有较好的股票日内交易能力，帮助公司部分股票持仓成本降低5%</w:t>
      </w:r>
    </w:p>
    <w:p>
      <w:pPr>
        <w:spacing w:before="200" w:after="40"/>
      </w:pPr>
      <w:r>
        <w:rPr>
          <w:rFonts w:ascii="Calibri" w:hAnsi="Calibri" w:eastAsia="微软雅黑"/>
          <w:b/>
          <w:sz w:val="22"/>
        </w:rPr>
        <w:t>杭州亿城实业有限公司</w:t>
      </w:r>
      <w:r>
        <w:rPr>
          <w:rFonts w:ascii="Calibri" w:hAnsi="Calibri" w:eastAsia="微软雅黑"/>
          <w:b w:val="0"/>
          <w:sz w:val="20"/>
        </w:rPr>
        <w:t xml:space="preserve">  |  证券交易员  |  2022.07 - 2022.12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为期1月模拟盘业绩50%收益率，4个月实盘交易20%收益率</w:t>
      </w:r>
    </w:p>
    <w:p>
      <w:pPr>
        <w:spacing w:before="200" w:after="40"/>
      </w:pPr>
      <w:r>
        <w:rPr>
          <w:rFonts w:ascii="Calibri" w:hAnsi="Calibri" w:eastAsia="微软雅黑"/>
          <w:b/>
          <w:sz w:val="22"/>
        </w:rPr>
        <w:t>杭州弈宸私募基金管理有限公司</w:t>
      </w:r>
      <w:r>
        <w:rPr>
          <w:rFonts w:ascii="Calibri" w:hAnsi="Calibri" w:eastAsia="微软雅黑"/>
          <w:b w:val="0"/>
          <w:sz w:val="20"/>
        </w:rPr>
        <w:t xml:space="preserve">  |  股票交易员  |  2022.02 - 2022.07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每日寻找T0交易机会，训练交易反应能力与止损执行力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个人项目（业余时间）</w:t>
      </w:r>
    </w:p>
    <w:p>
      <w:pPr>
        <w:spacing w:before="120" w:after="40"/>
      </w:pPr>
      <w:r>
        <w:rPr>
          <w:rFonts w:ascii="Calibri" w:hAnsi="Calibri" w:eastAsia="微软雅黑"/>
          <w:b/>
          <w:sz w:val="20"/>
        </w:rPr>
        <w:t>A股量化行情数据库</w:t>
      </w:r>
      <w:r>
        <w:rPr>
          <w:rFonts w:ascii="Calibri" w:hAnsi="Calibri" w:eastAsia="微软雅黑"/>
          <w:b w:val="0"/>
          <w:sz w:val="20"/>
        </w:rPr>
        <w:t xml:space="preserve">  |  设计14张表覆盖日线/分钟/Tick/财务三表/复权因子/股票基础信息/交易日历；主导存储选型演进：SQLite→PostgreSQL+TimescaleDB→时序库；完成1.97亿行数据迁移（195分钟），发现3~7月覆盖仅58%的漏股问题并定位根因；工具：MySQL | Python | pandas</w:t>
      </w:r>
    </w:p>
    <w:p>
      <w:pPr>
        <w:spacing w:before="120" w:after="40"/>
      </w:pPr>
      <w:r>
        <w:rPr>
          <w:rFonts w:ascii="Calibri" w:hAnsi="Calibri" w:eastAsia="微软雅黑"/>
          <w:b/>
          <w:sz w:val="20"/>
        </w:rPr>
        <w:t>连板竞价策略回测</w:t>
      </w:r>
      <w:r>
        <w:rPr>
          <w:rFonts w:ascii="Calibri" w:hAnsi="Calibri" w:eastAsia="微软雅黑"/>
          <w:b w:val="0"/>
          <w:sz w:val="20"/>
        </w:rPr>
        <w:t xml:space="preserve">  |  定义策略假设：连续涨停+竞价放量→次日超额收益；主导加入「情绪闸门(ADJS≥0)」过滤条件，组合胜率从全样本50.7%提升至66.7%（33笔）；完成分月/分开盘涨幅/分情绪的归因分析；诚实记录局限：未扣手续费/滑点、8月数据断层、样本量偏小；工具：Python | pandas | MySQL</w:t>
      </w:r>
    </w:p>
    <w:p>
      <w:pPr>
        <w:spacing w:before="120" w:after="40"/>
      </w:pPr>
      <w:r>
        <w:rPr>
          <w:rFonts w:ascii="Calibri" w:hAnsi="Calibri" w:eastAsia="微软雅黑"/>
          <w:b/>
          <w:sz w:val="20"/>
        </w:rPr>
        <w:t>股票监控报警平台</w:t>
      </w:r>
      <w:r>
        <w:rPr>
          <w:rFonts w:ascii="Calibri" w:hAnsi="Calibri" w:eastAsia="微软雅黑"/>
          <w:b w:val="0"/>
          <w:sz w:val="20"/>
        </w:rPr>
        <w:t xml:space="preserve">  |  搭建6层架构监控平台：DataFeed→策略→Engine→Notifier→Storage→Web；行情源双源兜底（Tushare主+AkShare备），告警走钉钉+邮件；策略热加载机制，Docker容器化部署；工具：Python | Flask | SQLAlchemy | Docker | APScheduler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教育经历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杭州师范大学钱江学院</w:t>
      </w:r>
      <w:r>
        <w:rPr>
          <w:rFonts w:ascii="Calibri" w:hAnsi="Calibri" w:eastAsia="微软雅黑"/>
          <w:b w:val="0"/>
          <w:sz w:val="20"/>
        </w:rPr>
        <w:t xml:space="preserve">  |  经济学  |  本科  |  2020 - 2022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主修：宏观经济学、微观经济学、国际经济学、证券投资学、信托、经济法</w:t>
      </w:r>
    </w:p>
    <w:p>
      <w:pPr>
        <w:pStyle w:val="ListBullet"/>
        <w:ind w:left="360"/>
      </w:pPr>
      <w:r>
        <w:rPr>
          <w:rFonts w:ascii="Calibri" w:hAnsi="Calibri" w:eastAsia="微软雅黑"/>
          <w:b w:val="0"/>
          <w:sz w:val="20"/>
        </w:rPr>
        <w:t>荣誉：财信期货高校杯二等奖、浙江省大学生投资理财大赛复赛、全国黄炎培杯理财大赛参与者</w:t>
      </w:r>
    </w:p>
    <w:p>
      <w:pPr>
        <w:spacing w:before="240" w:after="120"/>
      </w:pPr>
      <w:r>
        <w:rPr>
          <w:rFonts w:ascii="Calibri" w:hAnsi="Calibri" w:eastAsia="微软雅黑"/>
          <w:b/>
          <w:color w:val="2C3E50"/>
          <w:sz w:val="28"/>
        </w:rPr>
        <w:t>资格证书</w:t>
      </w:r>
    </w:p>
    <w:p>
      <w:pPr>
        <w:spacing w:after="40"/>
      </w:pPr>
      <w:r>
        <w:rPr>
          <w:rFonts w:ascii="Calibri" w:hAnsi="Calibri" w:eastAsia="微软雅黑"/>
          <w:b w:val="0"/>
          <w:sz w:val="20"/>
        </w:rPr>
        <w:t>基金从业资格证  |  期货从业资格证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