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79"/>
          <w:sz w:val="48"/>
        </w:rPr>
        <w:t>Isaac Sim 5.1 Warehouse Simulation Design Plan</w:t>
      </w:r>
    </w:p>
    <w:p>
      <w:pPr>
        <w:spacing w:after="280"/>
        <w:jc w:val="left"/>
      </w:pPr>
      <w:r>
        <w:rPr>
          <w:rFonts w:ascii="Aptos" w:hAnsi="Aptos"/>
          <w:color w:val="5B6B78"/>
          <w:sz w:val="22"/>
        </w:rPr>
        <w:t>Object-state-driven warehouse behavior inside a zone-based layout, explicitly adjusted for Isaac Sim 5.1 integration risk and Claude-assisted delivery.</w:t>
      </w:r>
    </w:p>
    <w:tbl>
      <w:tblPr>
        <w:tblW w:type="auto" w:w="0"/>
        <w:jc w:val="left"/>
        <w:tblLayout w:type="autofit"/>
        <w:tblLook w:firstColumn="1" w:firstRow="1" w:lastColumn="0" w:lastRow="0" w:noHBand="0" w:noVBand="1" w:val="04A0"/>
      </w:tblPr>
      <w:tblGrid>
        <w:gridCol w:w="9936"/>
      </w:tblGrid>
      <w:tr>
        <w:tc>
          <w:tcPr>
            <w:tcW w:type="dxa" w:w="9936"/>
            <w:shd w:fill="EAF2F8"/>
            <w:tcMar>
              <w:top w:w="120" w:type="dxa"/>
              <w:start w:w="160" w:type="dxa"/>
              <w:bottom w:w="120" w:type="dxa"/>
              <w:end w:w="160" w:type="dxa"/>
            </w:tcMar>
          </w:tcPr>
          <w:p>
            <w:pPr>
              <w:spacing w:after="60"/>
              <w:ind w:left="144"/>
            </w:pPr>
            <w:r>
              <w:rPr>
                <w:sz w:val="21"/>
              </w:rPr>
              <w:t>• Purpose: define the simulation architecture before coding.</w:t>
            </w:r>
          </w:p>
          <w:p>
            <w:pPr>
              <w:spacing w:after="60"/>
              <w:ind w:left="144"/>
            </w:pPr>
            <w:r>
              <w:rPr>
                <w:sz w:val="21"/>
              </w:rPr>
              <w:t>• Platform scope: Isaac Sim 5.1, with simulator-facing APIs treated as version-sensitive.</w:t>
            </w:r>
          </w:p>
          <w:p>
            <w:pPr>
              <w:spacing w:after="60"/>
              <w:ind w:left="144"/>
            </w:pPr>
            <w:r>
              <w:rPr>
                <w:sz w:val="21"/>
              </w:rPr>
              <w:t>• Design principle: objects hold truth, rules drive behavior, zones measure outcomes.</w:t>
            </w:r>
          </w:p>
          <w:p>
            <w:pPr>
              <w:spacing w:after="60"/>
              <w:ind w:left="144"/>
            </w:pPr>
            <w:r>
              <w:rPr>
                <w:sz w:val="21"/>
              </w:rPr>
              <w:t>• Delivery intent: reusable single scene, multiple scenarios via state and timing changes.</w:t>
            </w:r>
          </w:p>
        </w:tc>
      </w:tr>
    </w:tbl>
    <w:p/>
    <w:p>
      <w:pPr>
        <w:pStyle w:val="Heading1"/>
      </w:pPr>
      <w:r>
        <w:t>1. Executive Summary</w:t>
      </w:r>
    </w:p>
    <w:p>
      <w:r>
        <w:t>This project builds one reusable warehouse environment in Isaac Sim 5.1 with three physical areas—Shelves Area, Staging Area, and Loading Zone—and drives scenarios through explicit object states instead of relying on complex continuous autonomy from the start. The design keeps the scene stable while scenario behavior changes through object state, timing, and release logic.</w:t>
      </w:r>
    </w:p>
    <w:tbl>
      <w:tblPr>
        <w:tblW w:type="auto" w:w="0"/>
        <w:jc w:val="left"/>
        <w:tblLook w:firstColumn="1" w:firstRow="1" w:lastColumn="0" w:lastRow="0" w:noHBand="0" w:noVBand="1" w:val="04A0"/>
      </w:tblPr>
      <w:tblGrid>
        <w:gridCol w:w="9936"/>
      </w:tblGrid>
      <w:tr>
        <w:tc>
          <w:tcPr>
            <w:tcW w:type="dxa" w:w="9936"/>
            <w:shd w:fill="D9EAF7"/>
            <w:tcMar>
              <w:top w:w="60" w:type="dxa"/>
              <w:start w:w="120" w:type="dxa"/>
              <w:bottom w:w="60" w:type="dxa"/>
              <w:end w:w="120" w:type="dxa"/>
            </w:tcMar>
          </w:tcPr>
          <w:p>
            <w:pPr>
              <w:spacing w:after="0"/>
            </w:pPr>
            <w:r>
              <w:rPr>
                <w:rFonts w:ascii="Aptos" w:hAnsi="Aptos"/>
                <w:b/>
                <w:color w:val="2C3E50"/>
                <w:sz w:val="22"/>
              </w:rPr>
              <w:t>Key design decision</w:t>
            </w:r>
          </w:p>
        </w:tc>
      </w:tr>
    </w:tbl>
    <w:p>
      <w:r>
        <w:t>Use zone-based geometry for physical layout and observability, but use object-state-driven logic for control. This separation makes the simulation easier to implement, easier to test, and safer to generate with Claude Code while still respecting Isaac Sim 5.1 version-specific APIs.</w:t>
      </w:r>
    </w:p>
    <w:p>
      <w:pPr>
        <w:pStyle w:val="Heading1"/>
      </w:pPr>
      <w:r>
        <w:t>2. Isaac Sim 5.1 Design Constraints</w:t>
      </w:r>
    </w:p>
    <w:p>
      <w:pPr>
        <w:spacing w:after="40"/>
        <w:ind w:left="288" w:hanging="216"/>
      </w:pPr>
      <w:r>
        <w:rPr>
          <w:sz w:val="21"/>
        </w:rPr>
        <w:t>• All simulator-facing code must be treated as Isaac Sim 5.1-specific until verified locally.</w:t>
      </w:r>
    </w:p>
    <w:p>
      <w:pPr>
        <w:spacing w:after="40"/>
        <w:ind w:left="288" w:hanging="216"/>
      </w:pPr>
      <w:r>
        <w:rPr>
          <w:sz w:val="21"/>
        </w:rPr>
        <w:t>• Generated code may create architecture, state logic, and logging freely, but stage setup and simulator integration must be isolated behind adapter/helper modules.</w:t>
      </w:r>
    </w:p>
    <w:p>
      <w:pPr>
        <w:spacing w:after="40"/>
        <w:ind w:left="288" w:hanging="216"/>
      </w:pPr>
      <w:r>
        <w:rPr>
          <w:sz w:val="21"/>
        </w:rPr>
        <w:t>• The first implementation should prefer deterministic waypoint motion over full autonomy or navmesh-heavy behavior.</w:t>
      </w:r>
    </w:p>
    <w:p>
      <w:pPr>
        <w:spacing w:after="40"/>
        <w:ind w:left="288" w:hanging="216"/>
      </w:pPr>
      <w:r>
        <w:rPr>
          <w:sz w:val="21"/>
        </w:rPr>
        <w:t>• Python-first control is preferred; GUI-only workflows should be used sparingly and validated in the installed 5.1 build.</w:t>
      </w:r>
    </w:p>
    <w:tbl>
      <w:tblPr>
        <w:tblStyle w:val="TableGrid"/>
        <w:tblW w:type="auto" w:w="0"/>
        <w:jc w:val="left"/>
        <w:tblLook w:firstColumn="1" w:firstRow="1" w:lastColumn="0" w:lastRow="0" w:noHBand="0" w:noVBand="1" w:val="04A0"/>
      </w:tblPr>
      <w:tblGrid>
        <w:gridCol w:w="4968"/>
        <w:gridCol w:w="4968"/>
      </w:tblGrid>
      <w:tr>
        <w:trPr>
          <w:tblHeader w:val="true"/>
        </w:trPr>
        <w:tc>
          <w:tcPr>
            <w:tcW w:type="dxa" w:w="2880"/>
            <w:shd w:fill="D9EAF7"/>
            <w:tcMar>
              <w:top w:w="80" w:type="dxa"/>
              <w:start w:w="120" w:type="dxa"/>
              <w:bottom w:w="80" w:type="dxa"/>
              <w:end w:w="120" w:type="dxa"/>
            </w:tcMar>
            <w:vAlign w:val="center"/>
          </w:tcPr>
          <w:p>
            <w:r>
              <w:rPr>
                <w:b/>
                <w:color w:val="2C3E50"/>
                <w:sz w:val="20"/>
              </w:rPr>
              <w:t>Topic</w:t>
            </w:r>
          </w:p>
        </w:tc>
        <w:tc>
          <w:tcPr>
            <w:tcW w:type="dxa" w:w="7056"/>
            <w:shd w:fill="D9EAF7"/>
            <w:tcMar>
              <w:top w:w="80" w:type="dxa"/>
              <w:start w:w="120" w:type="dxa"/>
              <w:bottom w:w="80" w:type="dxa"/>
              <w:end w:w="120" w:type="dxa"/>
            </w:tcMar>
            <w:vAlign w:val="center"/>
          </w:tcPr>
          <w:p>
            <w:r>
              <w:rPr>
                <w:b/>
                <w:color w:val="2C3E50"/>
                <w:sz w:val="20"/>
              </w:rPr>
              <w:t>Definition</w:t>
            </w:r>
          </w:p>
        </w:tc>
      </w:tr>
      <w:tr>
        <w:tc>
          <w:tcPr>
            <w:tcW w:type="dxa" w:w="2880"/>
            <w:tcMar>
              <w:top w:w="80" w:type="dxa"/>
              <w:start w:w="120" w:type="dxa"/>
              <w:bottom w:w="80" w:type="dxa"/>
              <w:end w:w="120" w:type="dxa"/>
            </w:tcMar>
            <w:vAlign w:val="center"/>
          </w:tcPr>
          <w:p>
            <w:r>
              <w:rPr>
                <w:sz w:val="20"/>
              </w:rPr>
              <w:t>Safe to design up front</w:t>
            </w:r>
          </w:p>
        </w:tc>
        <w:tc>
          <w:tcPr>
            <w:tcW w:type="dxa" w:w="7056"/>
            <w:tcMar>
              <w:top w:w="80" w:type="dxa"/>
              <w:start w:w="120" w:type="dxa"/>
              <w:bottom w:w="80" w:type="dxa"/>
              <w:end w:w="120" w:type="dxa"/>
            </w:tcMar>
            <w:vAlign w:val="center"/>
          </w:tcPr>
          <w:p>
            <w:r>
              <w:rPr>
                <w:sz w:val="20"/>
              </w:rPr>
              <w:t>Object models, state machines, rule engine, metrics schema, scenario presets, and repository structure.</w:t>
            </w:r>
          </w:p>
        </w:tc>
      </w:tr>
      <w:tr>
        <w:tc>
          <w:tcPr>
            <w:tcW w:type="dxa" w:w="2880"/>
            <w:tcMar>
              <w:top w:w="80" w:type="dxa"/>
              <w:start w:w="120" w:type="dxa"/>
              <w:bottom w:w="80" w:type="dxa"/>
              <w:end w:w="120" w:type="dxa"/>
            </w:tcMar>
            <w:vAlign w:val="center"/>
          </w:tcPr>
          <w:p>
            <w:r>
              <w:rPr>
                <w:sz w:val="20"/>
              </w:rPr>
              <w:t>Must be version-verified in 5.1</w:t>
            </w:r>
          </w:p>
        </w:tc>
        <w:tc>
          <w:tcPr>
            <w:tcW w:type="dxa" w:w="7056"/>
            <w:tcMar>
              <w:top w:w="80" w:type="dxa"/>
              <w:start w:w="120" w:type="dxa"/>
              <w:bottom w:w="80" w:type="dxa"/>
              <w:end w:w="120" w:type="dxa"/>
            </w:tcMar>
            <w:vAlign w:val="center"/>
          </w:tcPr>
          <w:p>
            <w:r>
              <w:rPr>
                <w:sz w:val="20"/>
              </w:rPr>
              <w:t>Stage creation, extension wiring, physics stepping, prim helpers, transforms, sensors, and any vehicle or articulation control interfaces.</w:t>
            </w:r>
          </w:p>
        </w:tc>
      </w:tr>
      <w:tr>
        <w:tc>
          <w:tcPr>
            <w:tcW w:type="dxa" w:w="2880"/>
            <w:tcMar>
              <w:top w:w="80" w:type="dxa"/>
              <w:start w:w="120" w:type="dxa"/>
              <w:bottom w:w="80" w:type="dxa"/>
              <w:end w:w="120" w:type="dxa"/>
            </w:tcMar>
            <w:vAlign w:val="center"/>
          </w:tcPr>
          <w:p>
            <w:r>
              <w:rPr>
                <w:sz w:val="20"/>
              </w:rPr>
              <w:t>Recommended implementation bias</w:t>
            </w:r>
          </w:p>
        </w:tc>
        <w:tc>
          <w:tcPr>
            <w:tcW w:type="dxa" w:w="7056"/>
            <w:tcMar>
              <w:top w:w="80" w:type="dxa"/>
              <w:start w:w="120" w:type="dxa"/>
              <w:bottom w:w="80" w:type="dxa"/>
              <w:end w:w="120" w:type="dxa"/>
            </w:tcMar>
            <w:vAlign w:val="center"/>
          </w:tcPr>
          <w:p>
            <w:r>
              <w:rPr>
                <w:sz w:val="20"/>
              </w:rPr>
              <w:t>Use thin Isaac adapter modules so any 5.1-specific breakage is fixed once instead of across the whole codebase.</w:t>
            </w:r>
          </w:p>
        </w:tc>
      </w:tr>
    </w:tbl>
    <w:p/>
    <w:p>
      <w:pPr>
        <w:pStyle w:val="Heading1"/>
      </w:pPr>
      <w:r>
        <w:t>3. Simulation Objective and Scope</w:t>
      </w:r>
    </w:p>
    <w:tbl>
      <w:tblPr>
        <w:tblStyle w:val="TableGrid"/>
        <w:tblW w:type="auto" w:w="0"/>
        <w:jc w:val="left"/>
        <w:tblLook w:firstColumn="1" w:firstRow="1" w:lastColumn="0" w:lastRow="0" w:noHBand="0" w:noVBand="1" w:val="04A0"/>
      </w:tblPr>
      <w:tblGrid>
        <w:gridCol w:w="4968"/>
        <w:gridCol w:w="4968"/>
      </w:tblGrid>
      <w:tr>
        <w:trPr>
          <w:tblHeader w:val="true"/>
        </w:trPr>
        <w:tc>
          <w:tcPr>
            <w:tcW w:type="dxa" w:w="2880"/>
            <w:shd w:fill="D9EAF7"/>
            <w:tcMar>
              <w:top w:w="80" w:type="dxa"/>
              <w:start w:w="120" w:type="dxa"/>
              <w:bottom w:w="80" w:type="dxa"/>
              <w:end w:w="120" w:type="dxa"/>
            </w:tcMar>
            <w:vAlign w:val="center"/>
          </w:tcPr>
          <w:p>
            <w:r>
              <w:rPr>
                <w:b/>
                <w:color w:val="2C3E50"/>
                <w:sz w:val="20"/>
              </w:rPr>
              <w:t>Topic</w:t>
            </w:r>
          </w:p>
        </w:tc>
        <w:tc>
          <w:tcPr>
            <w:tcW w:type="dxa" w:w="7056"/>
            <w:shd w:fill="D9EAF7"/>
            <w:tcMar>
              <w:top w:w="80" w:type="dxa"/>
              <w:start w:w="120" w:type="dxa"/>
              <w:bottom w:w="80" w:type="dxa"/>
              <w:end w:w="120" w:type="dxa"/>
            </w:tcMar>
            <w:vAlign w:val="center"/>
          </w:tcPr>
          <w:p>
            <w:r>
              <w:rPr>
                <w:b/>
                <w:color w:val="2C3E50"/>
                <w:sz w:val="20"/>
              </w:rPr>
              <w:t>Definition</w:t>
            </w:r>
          </w:p>
        </w:tc>
      </w:tr>
      <w:tr>
        <w:tc>
          <w:tcPr>
            <w:tcW w:type="dxa" w:w="2880"/>
            <w:tcMar>
              <w:top w:w="80" w:type="dxa"/>
              <w:start w:w="120" w:type="dxa"/>
              <w:bottom w:w="80" w:type="dxa"/>
              <w:end w:w="120" w:type="dxa"/>
            </w:tcMar>
            <w:vAlign w:val="center"/>
          </w:tcPr>
          <w:p>
            <w:r>
              <w:rPr>
                <w:sz w:val="20"/>
              </w:rPr>
              <w:t>Objective</w:t>
            </w:r>
          </w:p>
        </w:tc>
        <w:tc>
          <w:tcPr>
            <w:tcW w:type="dxa" w:w="7056"/>
            <w:tcMar>
              <w:top w:w="80" w:type="dxa"/>
              <w:start w:w="120" w:type="dxa"/>
              <w:bottom w:w="80" w:type="dxa"/>
              <w:end w:w="120" w:type="dxa"/>
            </w:tcMar>
            <w:vAlign w:val="center"/>
          </w:tcPr>
          <w:p>
            <w:r>
              <w:rPr>
                <w:sz w:val="20"/>
              </w:rPr>
              <w:t>Build a simplified but operationally useful warehouse simulation for alert testing, queue behavior, buildup analysis, idle detection, congestion analysis, and proximity monitoring.</w:t>
            </w:r>
          </w:p>
        </w:tc>
      </w:tr>
      <w:tr>
        <w:tc>
          <w:tcPr>
            <w:tcW w:type="dxa" w:w="2880"/>
            <w:tcMar>
              <w:top w:w="80" w:type="dxa"/>
              <w:start w:w="120" w:type="dxa"/>
              <w:bottom w:w="80" w:type="dxa"/>
              <w:end w:w="120" w:type="dxa"/>
            </w:tcMar>
            <w:vAlign w:val="center"/>
          </w:tcPr>
          <w:p>
            <w:r>
              <w:rPr>
                <w:sz w:val="20"/>
              </w:rPr>
              <w:t>Included in v1</w:t>
            </w:r>
          </w:p>
        </w:tc>
        <w:tc>
          <w:tcPr>
            <w:tcW w:type="dxa" w:w="7056"/>
            <w:tcMar>
              <w:top w:w="80" w:type="dxa"/>
              <w:start w:w="120" w:type="dxa"/>
              <w:bottom w:w="80" w:type="dxa"/>
              <w:end w:w="120" w:type="dxa"/>
            </w:tcMar>
            <w:vAlign w:val="center"/>
          </w:tcPr>
          <w:p>
            <w:r>
              <w:rPr>
                <w:sz w:val="20"/>
              </w:rPr>
              <w:t>Three fixed zones, 3–5 forklifts, pallets as tracked entities, one loading door, queue slots, waypoint routing, dwell timers, state transitions, zone metrics, and scenario presets.</w:t>
            </w:r>
          </w:p>
        </w:tc>
      </w:tr>
      <w:tr>
        <w:tc>
          <w:tcPr>
            <w:tcW w:type="dxa" w:w="2880"/>
            <w:tcMar>
              <w:top w:w="80" w:type="dxa"/>
              <w:start w:w="120" w:type="dxa"/>
              <w:bottom w:w="80" w:type="dxa"/>
              <w:end w:w="120" w:type="dxa"/>
            </w:tcMar>
            <w:vAlign w:val="center"/>
          </w:tcPr>
          <w:p>
            <w:r>
              <w:rPr>
                <w:sz w:val="20"/>
              </w:rPr>
              <w:t>Not required in v1</w:t>
            </w:r>
          </w:p>
        </w:tc>
        <w:tc>
          <w:tcPr>
            <w:tcW w:type="dxa" w:w="7056"/>
            <w:tcMar>
              <w:top w:w="80" w:type="dxa"/>
              <w:start w:w="120" w:type="dxa"/>
              <w:bottom w:w="80" w:type="dxa"/>
              <w:end w:w="120" w:type="dxa"/>
            </w:tcMar>
            <w:vAlign w:val="center"/>
          </w:tcPr>
          <w:p>
            <w:r>
              <w:rPr>
                <w:sz w:val="20"/>
              </w:rPr>
              <w:t>Full warehouse management integration, high-fidelity autonomy, dynamic traffic planning, or photoreal scene complexity beyond what supports behavior testing.</w:t>
            </w:r>
          </w:p>
        </w:tc>
      </w:tr>
    </w:tbl>
    <w:p/>
    <w:p>
      <w:pPr>
        <w:pStyle w:val="Heading1"/>
      </w:pPr>
      <w:r>
        <w:t>4. Physical Warehouse Layout</w:t>
      </w:r>
    </w:p>
    <w:p>
      <w:r>
        <w:t>The environment should use one clear operational flow: Shelves Area → Staging Area → Loading Zone → return or exit. The physical layout should be simple enough to debug quickly and restrictive enough to create realistic queues and choke points.</w:t>
      </w:r>
    </w:p>
    <w:tbl>
      <w:tblPr>
        <w:tblStyle w:val="TableGrid"/>
        <w:tblW w:type="auto" w:w="0"/>
        <w:jc w:val="left"/>
        <w:tblLook w:firstColumn="1" w:firstRow="1" w:lastColumn="0" w:lastRow="0" w:noHBand="0" w:noVBand="1" w:val="04A0"/>
      </w:tblPr>
      <w:tblGrid>
        <w:gridCol w:w="4968"/>
        <w:gridCol w:w="4968"/>
      </w:tblGrid>
      <w:tr>
        <w:trPr>
          <w:tblHeader w:val="true"/>
        </w:trPr>
        <w:tc>
          <w:tcPr>
            <w:tcW w:type="dxa" w:w="2880"/>
            <w:shd w:fill="D9EAF7"/>
            <w:tcMar>
              <w:top w:w="80" w:type="dxa"/>
              <w:start w:w="120" w:type="dxa"/>
              <w:bottom w:w="80" w:type="dxa"/>
              <w:end w:w="120" w:type="dxa"/>
            </w:tcMar>
            <w:vAlign w:val="center"/>
          </w:tcPr>
          <w:p>
            <w:r>
              <w:rPr>
                <w:b/>
                <w:color w:val="2C3E50"/>
                <w:sz w:val="20"/>
              </w:rPr>
              <w:t>USD zone path</w:t>
            </w:r>
          </w:p>
        </w:tc>
        <w:tc>
          <w:tcPr>
            <w:tcW w:type="dxa" w:w="7056"/>
            <w:shd w:fill="D9EAF7"/>
            <w:tcMar>
              <w:top w:w="80" w:type="dxa"/>
              <w:start w:w="120" w:type="dxa"/>
              <w:bottom w:w="80" w:type="dxa"/>
              <w:end w:w="120" w:type="dxa"/>
            </w:tcMar>
            <w:vAlign w:val="center"/>
          </w:tcPr>
          <w:p>
            <w:r>
              <w:rPr>
                <w:b/>
                <w:color w:val="2C3E50"/>
                <w:sz w:val="20"/>
              </w:rPr>
              <w:t>Purpose</w:t>
            </w:r>
          </w:p>
        </w:tc>
      </w:tr>
      <w:tr>
        <w:tc>
          <w:tcPr>
            <w:tcW w:type="dxa" w:w="2880"/>
            <w:tcMar>
              <w:top w:w="80" w:type="dxa"/>
              <w:start w:w="120" w:type="dxa"/>
              <w:bottom w:w="80" w:type="dxa"/>
              <w:end w:w="120" w:type="dxa"/>
            </w:tcMar>
            <w:vAlign w:val="center"/>
          </w:tcPr>
          <w:p>
            <w:r>
              <w:rPr>
                <w:sz w:val="20"/>
              </w:rPr>
              <w:t>/World/Zones/ShelvesArea</w:t>
            </w:r>
          </w:p>
        </w:tc>
        <w:tc>
          <w:tcPr>
            <w:tcW w:type="dxa" w:w="7056"/>
            <w:tcMar>
              <w:top w:w="80" w:type="dxa"/>
              <w:start w:w="120" w:type="dxa"/>
              <w:bottom w:w="80" w:type="dxa"/>
              <w:end w:w="120" w:type="dxa"/>
            </w:tcMar>
            <w:vAlign w:val="center"/>
          </w:tcPr>
          <w:p>
            <w:r>
              <w:rPr>
                <w:sz w:val="20"/>
              </w:rPr>
              <w:t>Rack and aisle zone where forklifts perform pickup/drop activities and where aisle traffic conditions can be triggered.</w:t>
            </w:r>
          </w:p>
        </w:tc>
      </w:tr>
      <w:tr>
        <w:tc>
          <w:tcPr>
            <w:tcW w:type="dxa" w:w="2880"/>
            <w:tcMar>
              <w:top w:w="80" w:type="dxa"/>
              <w:start w:w="120" w:type="dxa"/>
              <w:bottom w:w="80" w:type="dxa"/>
              <w:end w:w="120" w:type="dxa"/>
            </w:tcMar>
            <w:vAlign w:val="center"/>
          </w:tcPr>
          <w:p>
            <w:r>
              <w:rPr>
                <w:sz w:val="20"/>
              </w:rPr>
              <w:t>/World/Zones/StagingArea</w:t>
            </w:r>
          </w:p>
        </w:tc>
        <w:tc>
          <w:tcPr>
            <w:tcW w:type="dxa" w:w="7056"/>
            <w:tcMar>
              <w:top w:w="80" w:type="dxa"/>
              <w:start w:w="120" w:type="dxa"/>
              <w:bottom w:w="80" w:type="dxa"/>
              <w:end w:w="120" w:type="dxa"/>
            </w:tcMar>
            <w:vAlign w:val="center"/>
          </w:tcPr>
          <w:p>
            <w:r>
              <w:rPr>
                <w:sz w:val="20"/>
              </w:rPr>
              <w:t>Midstream buffer zone between shelves and dock. Supports waiting, accumulation, and controlled release.</w:t>
            </w:r>
          </w:p>
        </w:tc>
      </w:tr>
      <w:tr>
        <w:tc>
          <w:tcPr>
            <w:tcW w:type="dxa" w:w="2880"/>
            <w:tcMar>
              <w:top w:w="80" w:type="dxa"/>
              <w:start w:w="120" w:type="dxa"/>
              <w:bottom w:w="80" w:type="dxa"/>
              <w:end w:w="120" w:type="dxa"/>
            </w:tcMar>
            <w:vAlign w:val="center"/>
          </w:tcPr>
          <w:p>
            <w:r>
              <w:rPr>
                <w:sz w:val="20"/>
              </w:rPr>
              <w:t>/World/Zones/LoadingZone</w:t>
            </w:r>
          </w:p>
        </w:tc>
        <w:tc>
          <w:tcPr>
            <w:tcW w:type="dxa" w:w="7056"/>
            <w:tcMar>
              <w:top w:w="80" w:type="dxa"/>
              <w:start w:w="120" w:type="dxa"/>
              <w:bottom w:w="80" w:type="dxa"/>
              <w:end w:w="120" w:type="dxa"/>
            </w:tcMar>
            <w:vAlign w:val="center"/>
          </w:tcPr>
          <w:p>
            <w:r>
              <w:rPr>
                <w:sz w:val="20"/>
              </w:rPr>
              <w:t>Final approach and service area at the dock. Supports single-forklift service plus nearby queue positions.</w:t>
            </w:r>
          </w:p>
        </w:tc>
      </w:tr>
    </w:tbl>
    <w:p/>
    <w:p>
      <w:pPr>
        <w:spacing w:after="40"/>
        <w:ind w:left="288" w:hanging="216"/>
      </w:pPr>
      <w:r>
        <w:rPr>
          <w:sz w:val="21"/>
        </w:rPr>
        <w:t>• Add support prim groups such as /World/Waypoints, /World/Forklifts, /World/Pallets, /World/QueueSlots, and /World/Metrics.</w:t>
      </w:r>
    </w:p>
    <w:p>
      <w:pPr>
        <w:spacing w:after="40"/>
        <w:ind w:left="288" w:hanging="216"/>
      </w:pPr>
      <w:r>
        <w:rPr>
          <w:sz w:val="21"/>
        </w:rPr>
        <w:t>• Use explicit queue positions near the dock rather than ad hoc waiting behavior.</w:t>
      </w:r>
    </w:p>
    <w:p>
      <w:pPr>
        <w:spacing w:after="40"/>
        <w:ind w:left="288" w:hanging="216"/>
      </w:pPr>
      <w:r>
        <w:rPr>
          <w:sz w:val="21"/>
        </w:rPr>
        <w:t>• Design aisle widths and turning radii for believability first; do not let automation decide geometry.</w:t>
      </w:r>
    </w:p>
    <w:p>
      <w:pPr>
        <w:pStyle w:val="Heading1"/>
      </w:pPr>
      <w:r>
        <w:t>5. Core Object Model</w:t>
      </w:r>
    </w:p>
    <w:tbl>
      <w:tblPr>
        <w:tblStyle w:val="TableGrid"/>
        <w:tblW w:type="auto" w:w="0"/>
        <w:jc w:val="left"/>
        <w:tblLook w:firstColumn="1" w:firstRow="1" w:lastColumn="0" w:lastRow="0" w:noHBand="0" w:noVBand="1" w:val="04A0"/>
      </w:tblPr>
      <w:tblGrid>
        <w:gridCol w:w="3312"/>
        <w:gridCol w:w="3312"/>
        <w:gridCol w:w="3312"/>
      </w:tblGrid>
      <w:tr>
        <w:trPr>
          <w:tblHeader w:val="true"/>
        </w:trPr>
        <w:tc>
          <w:tcPr>
            <w:tcW w:type="dxa" w:w="3168"/>
            <w:shd w:fill="D9EAF7"/>
            <w:tcMar>
              <w:top w:w="80" w:type="dxa"/>
              <w:start w:w="120" w:type="dxa"/>
              <w:bottom w:w="80" w:type="dxa"/>
              <w:end w:w="120" w:type="dxa"/>
            </w:tcMar>
            <w:vAlign w:val="center"/>
          </w:tcPr>
          <w:p>
            <w:r>
              <w:rPr>
                <w:b/>
                <w:color w:val="2C3E50"/>
                <w:sz w:val="20"/>
              </w:rPr>
              <w:t>Object</w:t>
            </w:r>
          </w:p>
        </w:tc>
        <w:tc>
          <w:tcPr>
            <w:tcW w:type="dxa" w:w="1872"/>
            <w:shd w:fill="D9EAF7"/>
            <w:tcMar>
              <w:top w:w="80" w:type="dxa"/>
              <w:start w:w="120" w:type="dxa"/>
              <w:bottom w:w="80" w:type="dxa"/>
              <w:end w:w="120" w:type="dxa"/>
            </w:tcMar>
            <w:vAlign w:val="center"/>
          </w:tcPr>
          <w:p>
            <w:r>
              <w:rPr>
                <w:b/>
                <w:color w:val="2C3E50"/>
                <w:sz w:val="20"/>
              </w:rPr>
              <w:t>Key state</w:t>
            </w:r>
          </w:p>
        </w:tc>
        <w:tc>
          <w:tcPr>
            <w:tcW w:type="dxa" w:w="4896"/>
            <w:shd w:fill="D9EAF7"/>
            <w:tcMar>
              <w:top w:w="80" w:type="dxa"/>
              <w:start w:w="120" w:type="dxa"/>
              <w:bottom w:w="80" w:type="dxa"/>
              <w:end w:w="120" w:type="dxa"/>
            </w:tcMar>
            <w:vAlign w:val="center"/>
          </w:tcPr>
          <w:p>
            <w:r>
              <w:rPr>
                <w:b/>
                <w:color w:val="2C3E50"/>
                <w:sz w:val="20"/>
              </w:rPr>
              <w:t>Why it matters</w:t>
            </w:r>
          </w:p>
        </w:tc>
      </w:tr>
      <w:tr>
        <w:tc>
          <w:tcPr>
            <w:tcW w:type="dxa" w:w="3168"/>
            <w:tcMar>
              <w:top w:w="80" w:type="dxa"/>
              <w:start w:w="120" w:type="dxa"/>
              <w:bottom w:w="80" w:type="dxa"/>
              <w:end w:w="120" w:type="dxa"/>
            </w:tcMar>
            <w:vAlign w:val="center"/>
          </w:tcPr>
          <w:p>
            <w:r>
              <w:rPr>
                <w:sz w:val="20"/>
              </w:rPr>
              <w:t>LoadingDoor</w:t>
            </w:r>
          </w:p>
        </w:tc>
        <w:tc>
          <w:tcPr>
            <w:tcW w:type="dxa" w:w="1872"/>
            <w:tcMar>
              <w:top w:w="80" w:type="dxa"/>
              <w:start w:w="120" w:type="dxa"/>
              <w:bottom w:w="80" w:type="dxa"/>
              <w:end w:w="120" w:type="dxa"/>
            </w:tcMar>
            <w:vAlign w:val="center"/>
          </w:tcPr>
          <w:p>
            <w:r>
              <w:rPr>
                <w:sz w:val="20"/>
              </w:rPr>
              <w:t>is_open</w:t>
            </w:r>
          </w:p>
        </w:tc>
        <w:tc>
          <w:tcPr>
            <w:tcW w:type="dxa" w:w="4896"/>
            <w:tcMar>
              <w:top w:w="80" w:type="dxa"/>
              <w:start w:w="120" w:type="dxa"/>
              <w:bottom w:w="80" w:type="dxa"/>
              <w:end w:w="120" w:type="dxa"/>
            </w:tcMar>
            <w:vAlign w:val="center"/>
          </w:tcPr>
          <w:p>
            <w:r>
              <w:rPr>
                <w:sz w:val="20"/>
              </w:rPr>
              <w:t>A single state can trigger loading pause, dock queue, and upstream buildup.</w:t>
            </w:r>
          </w:p>
        </w:tc>
      </w:tr>
      <w:tr>
        <w:tc>
          <w:tcPr>
            <w:tcW w:type="dxa" w:w="3168"/>
            <w:tcMar>
              <w:top w:w="80" w:type="dxa"/>
              <w:start w:w="120" w:type="dxa"/>
              <w:bottom w:w="80" w:type="dxa"/>
              <w:end w:w="120" w:type="dxa"/>
            </w:tcMar>
            <w:vAlign w:val="center"/>
          </w:tcPr>
          <w:p>
            <w:r>
              <w:rPr>
                <w:sz w:val="20"/>
              </w:rPr>
              <w:t>LoadingZone</w:t>
            </w:r>
          </w:p>
        </w:tc>
        <w:tc>
          <w:tcPr>
            <w:tcW w:type="dxa" w:w="1872"/>
            <w:tcMar>
              <w:top w:w="80" w:type="dxa"/>
              <w:start w:w="120" w:type="dxa"/>
              <w:bottom w:w="80" w:type="dxa"/>
              <w:end w:w="120" w:type="dxa"/>
            </w:tcMar>
            <w:vAlign w:val="center"/>
          </w:tcPr>
          <w:p>
            <w:r>
              <w:rPr>
                <w:sz w:val="20"/>
              </w:rPr>
              <w:t>active_forklift_id, queue_count, capacity, is_blocked</w:t>
            </w:r>
          </w:p>
        </w:tc>
        <w:tc>
          <w:tcPr>
            <w:tcW w:type="dxa" w:w="4896"/>
            <w:tcMar>
              <w:top w:w="80" w:type="dxa"/>
              <w:start w:w="120" w:type="dxa"/>
              <w:bottom w:w="80" w:type="dxa"/>
              <w:end w:w="120" w:type="dxa"/>
            </w:tcMar>
            <w:vAlign w:val="center"/>
          </w:tcPr>
          <w:p>
            <w:r>
              <w:rPr>
                <w:sz w:val="20"/>
              </w:rPr>
              <w:t>Represents dock occupancy and waiting pressure.</w:t>
            </w:r>
          </w:p>
        </w:tc>
      </w:tr>
      <w:tr>
        <w:tc>
          <w:tcPr>
            <w:tcW w:type="dxa" w:w="3168"/>
            <w:tcMar>
              <w:top w:w="80" w:type="dxa"/>
              <w:start w:w="120" w:type="dxa"/>
              <w:bottom w:w="80" w:type="dxa"/>
              <w:end w:w="120" w:type="dxa"/>
            </w:tcMar>
            <w:vAlign w:val="center"/>
          </w:tcPr>
          <w:p>
            <w:r>
              <w:rPr>
                <w:sz w:val="20"/>
              </w:rPr>
              <w:t>StagingArea</w:t>
            </w:r>
          </w:p>
        </w:tc>
        <w:tc>
          <w:tcPr>
            <w:tcW w:type="dxa" w:w="1872"/>
            <w:tcMar>
              <w:top w:w="80" w:type="dxa"/>
              <w:start w:w="120" w:type="dxa"/>
              <w:bottom w:w="80" w:type="dxa"/>
              <w:end w:w="120" w:type="dxa"/>
            </w:tcMar>
            <w:vAlign w:val="center"/>
          </w:tcPr>
          <w:p>
            <w:r>
              <w:rPr>
                <w:sz w:val="20"/>
              </w:rPr>
              <w:t>forklift_count, pallet_count, capacity, is_blocked</w:t>
            </w:r>
          </w:p>
        </w:tc>
        <w:tc>
          <w:tcPr>
            <w:tcW w:type="dxa" w:w="4896"/>
            <w:tcMar>
              <w:top w:w="80" w:type="dxa"/>
              <w:start w:w="120" w:type="dxa"/>
              <w:bottom w:w="80" w:type="dxa"/>
              <w:end w:w="120" w:type="dxa"/>
            </w:tcMar>
            <w:vAlign w:val="center"/>
          </w:tcPr>
          <w:p>
            <w:r>
              <w:rPr>
                <w:sz w:val="20"/>
              </w:rPr>
              <w:t>Supports buildup detection and release control.</w:t>
            </w:r>
          </w:p>
        </w:tc>
      </w:tr>
      <w:tr>
        <w:tc>
          <w:tcPr>
            <w:tcW w:type="dxa" w:w="3168"/>
            <w:tcMar>
              <w:top w:w="80" w:type="dxa"/>
              <w:start w:w="120" w:type="dxa"/>
              <w:bottom w:w="80" w:type="dxa"/>
              <w:end w:w="120" w:type="dxa"/>
            </w:tcMar>
            <w:vAlign w:val="center"/>
          </w:tcPr>
          <w:p>
            <w:r>
              <w:rPr>
                <w:sz w:val="20"/>
              </w:rPr>
              <w:t>ShelvesArea</w:t>
            </w:r>
          </w:p>
        </w:tc>
        <w:tc>
          <w:tcPr>
            <w:tcW w:type="dxa" w:w="1872"/>
            <w:tcMar>
              <w:top w:w="80" w:type="dxa"/>
              <w:start w:w="120" w:type="dxa"/>
              <w:bottom w:w="80" w:type="dxa"/>
              <w:end w:w="120" w:type="dxa"/>
            </w:tcMar>
            <w:vAlign w:val="center"/>
          </w:tcPr>
          <w:p>
            <w:r>
              <w:rPr>
                <w:sz w:val="20"/>
              </w:rPr>
              <w:t>forklift_count, active_task_count, is_congested</w:t>
            </w:r>
          </w:p>
        </w:tc>
        <w:tc>
          <w:tcPr>
            <w:tcW w:type="dxa" w:w="4896"/>
            <w:tcMar>
              <w:top w:w="80" w:type="dxa"/>
              <w:start w:w="120" w:type="dxa"/>
              <w:bottom w:w="80" w:type="dxa"/>
              <w:end w:w="120" w:type="dxa"/>
            </w:tcMar>
            <w:vAlign w:val="center"/>
          </w:tcPr>
          <w:p>
            <w:r>
              <w:rPr>
                <w:sz w:val="20"/>
              </w:rPr>
              <w:t>Supports aisle traffic and idle/congestion logic.</w:t>
            </w:r>
          </w:p>
        </w:tc>
      </w:tr>
      <w:tr>
        <w:tc>
          <w:tcPr>
            <w:tcW w:type="dxa" w:w="3168"/>
            <w:tcMar>
              <w:top w:w="80" w:type="dxa"/>
              <w:start w:w="120" w:type="dxa"/>
              <w:bottom w:w="80" w:type="dxa"/>
              <w:end w:w="120" w:type="dxa"/>
            </w:tcMar>
            <w:vAlign w:val="center"/>
          </w:tcPr>
          <w:p>
            <w:r>
              <w:rPr>
                <w:sz w:val="20"/>
              </w:rPr>
              <w:t>Forklift</w:t>
            </w:r>
          </w:p>
        </w:tc>
        <w:tc>
          <w:tcPr>
            <w:tcW w:type="dxa" w:w="1872"/>
            <w:tcMar>
              <w:top w:w="80" w:type="dxa"/>
              <w:start w:w="120" w:type="dxa"/>
              <w:bottom w:w="80" w:type="dxa"/>
              <w:end w:w="120" w:type="dxa"/>
            </w:tcMar>
            <w:vAlign w:val="center"/>
          </w:tcPr>
          <w:p>
            <w:r>
              <w:rPr>
                <w:sz w:val="20"/>
              </w:rPr>
              <w:t>state, current_zone, has_pallet, assigned_task, target_waypoint</w:t>
            </w:r>
          </w:p>
        </w:tc>
        <w:tc>
          <w:tcPr>
            <w:tcW w:type="dxa" w:w="4896"/>
            <w:tcMar>
              <w:top w:w="80" w:type="dxa"/>
              <w:start w:w="120" w:type="dxa"/>
              <w:bottom w:w="80" w:type="dxa"/>
              <w:end w:w="120" w:type="dxa"/>
            </w:tcMar>
            <w:vAlign w:val="center"/>
          </w:tcPr>
          <w:p>
            <w:r>
              <w:rPr>
                <w:sz w:val="20"/>
              </w:rPr>
              <w:t>Primary moving actor driven by a simple operational state machine.</w:t>
            </w:r>
          </w:p>
        </w:tc>
      </w:tr>
      <w:tr>
        <w:tc>
          <w:tcPr>
            <w:tcW w:type="dxa" w:w="3168"/>
            <w:tcMar>
              <w:top w:w="80" w:type="dxa"/>
              <w:start w:w="120" w:type="dxa"/>
              <w:bottom w:w="80" w:type="dxa"/>
              <w:end w:w="120" w:type="dxa"/>
            </w:tcMar>
            <w:vAlign w:val="center"/>
          </w:tcPr>
          <w:p>
            <w:r>
              <w:rPr>
                <w:sz w:val="20"/>
              </w:rPr>
              <w:t>Pallet</w:t>
            </w:r>
          </w:p>
        </w:tc>
        <w:tc>
          <w:tcPr>
            <w:tcW w:type="dxa" w:w="1872"/>
            <w:tcMar>
              <w:top w:w="80" w:type="dxa"/>
              <w:start w:w="120" w:type="dxa"/>
              <w:bottom w:w="80" w:type="dxa"/>
              <w:end w:w="120" w:type="dxa"/>
            </w:tcMar>
            <w:vAlign w:val="center"/>
          </w:tcPr>
          <w:p>
            <w:r>
              <w:rPr>
                <w:sz w:val="20"/>
              </w:rPr>
              <w:t>location, assigned_forklift_id</w:t>
            </w:r>
          </w:p>
        </w:tc>
        <w:tc>
          <w:tcPr>
            <w:tcW w:type="dxa" w:w="4896"/>
            <w:tcMar>
              <w:top w:w="80" w:type="dxa"/>
              <w:start w:w="120" w:type="dxa"/>
              <w:bottom w:w="80" w:type="dxa"/>
              <w:end w:w="120" w:type="dxa"/>
            </w:tcMar>
            <w:vAlign w:val="center"/>
          </w:tcPr>
          <w:p>
            <w:r>
              <w:rPr>
                <w:sz w:val="20"/>
              </w:rPr>
              <w:t>Separates material state from forklift state and avoids ambiguity.</w:t>
            </w:r>
          </w:p>
        </w:tc>
      </w:tr>
      <w:tr>
        <w:tc>
          <w:tcPr>
            <w:tcW w:type="dxa" w:w="3168"/>
            <w:tcMar>
              <w:top w:w="80" w:type="dxa"/>
              <w:start w:w="120" w:type="dxa"/>
              <w:bottom w:w="80" w:type="dxa"/>
              <w:end w:w="120" w:type="dxa"/>
            </w:tcMar>
            <w:vAlign w:val="center"/>
          </w:tcPr>
          <w:p>
            <w:r>
              <w:rPr>
                <w:sz w:val="20"/>
              </w:rPr>
              <w:t>QueueSlot / DockSlot</w:t>
            </w:r>
          </w:p>
        </w:tc>
        <w:tc>
          <w:tcPr>
            <w:tcW w:type="dxa" w:w="1872"/>
            <w:tcMar>
              <w:top w:w="80" w:type="dxa"/>
              <w:start w:w="120" w:type="dxa"/>
              <w:bottom w:w="80" w:type="dxa"/>
              <w:end w:w="120" w:type="dxa"/>
            </w:tcMar>
            <w:vAlign w:val="center"/>
          </w:tcPr>
          <w:p>
            <w:r>
              <w:rPr>
                <w:sz w:val="20"/>
              </w:rPr>
              <w:t>occupied_by, slot_type</w:t>
            </w:r>
          </w:p>
        </w:tc>
        <w:tc>
          <w:tcPr>
            <w:tcW w:type="dxa" w:w="4896"/>
            <w:tcMar>
              <w:top w:w="80" w:type="dxa"/>
              <w:start w:w="120" w:type="dxa"/>
              <w:bottom w:w="80" w:type="dxa"/>
              <w:end w:w="120" w:type="dxa"/>
            </w:tcMar>
            <w:vAlign w:val="center"/>
          </w:tcPr>
          <w:p>
            <w:r>
              <w:rPr>
                <w:sz w:val="20"/>
              </w:rPr>
              <w:t>Makes queue assignment deterministic and observable.</w:t>
            </w:r>
          </w:p>
        </w:tc>
      </w:tr>
    </w:tbl>
    <w:p/>
    <w:p>
      <w:pPr>
        <w:pStyle w:val="Heading1"/>
      </w:pPr>
      <w:r>
        <w:t>6. Rule Engine and Behavior Flow</w:t>
      </w:r>
    </w:p>
    <w:p>
      <w:r>
        <w:t>The rule engine decides what can happen next based on object state. Movement only executes a decision that has already been made. This keeps the logic readable and reduces debugging complexity in Isaac Sim 5.1.</w:t>
      </w:r>
    </w:p>
    <w:p>
      <w:pPr>
        <w:spacing w:after="40"/>
        <w:ind w:left="288" w:hanging="216"/>
      </w:pPr>
      <w:r>
        <w:rPr>
          <w:sz w:val="21"/>
        </w:rPr>
        <w:t>• If the loading door is closed, no forklift may enter LOADING state.</w:t>
      </w:r>
    </w:p>
    <w:p>
      <w:pPr>
        <w:spacing w:after="40"/>
        <w:ind w:left="288" w:hanging="216"/>
      </w:pPr>
      <w:r>
        <w:rPr>
          <w:sz w:val="21"/>
        </w:rPr>
        <w:t>• If the dock slot is occupied, the arriving forklift goes to the next queue slot or remains in staging.</w:t>
      </w:r>
    </w:p>
    <w:p>
      <w:pPr>
        <w:spacing w:after="40"/>
        <w:ind w:left="288" w:hanging="216"/>
      </w:pPr>
      <w:r>
        <w:rPr>
          <w:sz w:val="21"/>
        </w:rPr>
        <w:t>• If staging is full, upstream forklifts must wait before entering.</w:t>
      </w:r>
    </w:p>
    <w:p>
      <w:pPr>
        <w:spacing w:after="40"/>
        <w:ind w:left="288" w:hanging="216"/>
      </w:pPr>
      <w:r>
        <w:rPr>
          <w:sz w:val="21"/>
        </w:rPr>
        <w:t>• If a forklift has a pallet and a legal downstream action exists, it may advance to the next zone.</w:t>
      </w:r>
    </w:p>
    <w:p>
      <w:pPr>
        <w:spacing w:after="40"/>
        <w:ind w:left="288" w:hanging="216"/>
      </w:pPr>
      <w:r>
        <w:rPr>
          <w:sz w:val="21"/>
        </w:rPr>
        <w:t>• Pallet location and forklift cargo state must always agree.</w:t>
      </w:r>
    </w:p>
    <w:tbl>
      <w:tblPr>
        <w:tblStyle w:val="TableGrid"/>
        <w:tblW w:type="auto" w:w="0"/>
        <w:jc w:val="left"/>
        <w:tblLook w:firstColumn="1" w:firstRow="1" w:lastColumn="0" w:lastRow="0" w:noHBand="0" w:noVBand="1" w:val="04A0"/>
      </w:tblPr>
      <w:tblGrid>
        <w:gridCol w:w="4968"/>
        <w:gridCol w:w="4968"/>
      </w:tblGrid>
      <w:tr>
        <w:trPr>
          <w:tblHeader w:val="true"/>
        </w:trPr>
        <w:tc>
          <w:tcPr>
            <w:tcW w:type="dxa" w:w="2880"/>
            <w:shd w:fill="D9EAF7"/>
            <w:tcMar>
              <w:top w:w="80" w:type="dxa"/>
              <w:start w:w="120" w:type="dxa"/>
              <w:bottom w:w="80" w:type="dxa"/>
              <w:end w:w="120" w:type="dxa"/>
            </w:tcMar>
            <w:vAlign w:val="center"/>
          </w:tcPr>
          <w:p>
            <w:r>
              <w:rPr>
                <w:b/>
                <w:color w:val="2C3E50"/>
                <w:sz w:val="20"/>
              </w:rPr>
              <w:t>Topic</w:t>
            </w:r>
          </w:p>
        </w:tc>
        <w:tc>
          <w:tcPr>
            <w:tcW w:type="dxa" w:w="7056"/>
            <w:shd w:fill="D9EAF7"/>
            <w:tcMar>
              <w:top w:w="80" w:type="dxa"/>
              <w:start w:w="120" w:type="dxa"/>
              <w:bottom w:w="80" w:type="dxa"/>
              <w:end w:w="120" w:type="dxa"/>
            </w:tcMar>
            <w:vAlign w:val="center"/>
          </w:tcPr>
          <w:p>
            <w:r>
              <w:rPr>
                <w:b/>
                <w:color w:val="2C3E50"/>
                <w:sz w:val="20"/>
              </w:rPr>
              <w:t>Definition</w:t>
            </w:r>
          </w:p>
        </w:tc>
      </w:tr>
      <w:tr>
        <w:tc>
          <w:tcPr>
            <w:tcW w:type="dxa" w:w="2880"/>
            <w:tcMar>
              <w:top w:w="80" w:type="dxa"/>
              <w:start w:w="120" w:type="dxa"/>
              <w:bottom w:w="80" w:type="dxa"/>
              <w:end w:w="120" w:type="dxa"/>
            </w:tcMar>
            <w:vAlign w:val="center"/>
          </w:tcPr>
          <w:p>
            <w:r>
              <w:rPr>
                <w:sz w:val="20"/>
              </w:rPr>
              <w:t>Default forklift state ladder</w:t>
            </w:r>
          </w:p>
        </w:tc>
        <w:tc>
          <w:tcPr>
            <w:tcW w:type="dxa" w:w="7056"/>
            <w:tcMar>
              <w:top w:w="80" w:type="dxa"/>
              <w:start w:w="120" w:type="dxa"/>
              <w:bottom w:w="80" w:type="dxa"/>
              <w:end w:w="120" w:type="dxa"/>
            </w:tcMar>
            <w:vAlign w:val="center"/>
          </w:tcPr>
          <w:p>
            <w:r>
              <w:rPr>
                <w:sz w:val="20"/>
              </w:rPr>
              <w:t>IDLE → PICKUP_AT_SHELVES → MOVE_TO_STAGING → WAIT_IN_STAGING → MOVE_TO_LOADING → WAIT_AT_DOCK_QUEUE → LOADING → RETURNING</w:t>
            </w:r>
          </w:p>
        </w:tc>
      </w:tr>
      <w:tr>
        <w:tc>
          <w:tcPr>
            <w:tcW w:type="dxa" w:w="2880"/>
            <w:tcMar>
              <w:top w:w="80" w:type="dxa"/>
              <w:start w:w="120" w:type="dxa"/>
              <w:bottom w:w="80" w:type="dxa"/>
              <w:end w:w="120" w:type="dxa"/>
            </w:tcMar>
            <w:vAlign w:val="center"/>
          </w:tcPr>
          <w:p>
            <w:r>
              <w:rPr>
                <w:sz w:val="20"/>
              </w:rPr>
              <w:t>Default movement flow</w:t>
            </w:r>
          </w:p>
        </w:tc>
        <w:tc>
          <w:tcPr>
            <w:tcW w:type="dxa" w:w="7056"/>
            <w:tcMar>
              <w:top w:w="80" w:type="dxa"/>
              <w:start w:w="120" w:type="dxa"/>
              <w:bottom w:w="80" w:type="dxa"/>
              <w:end w:w="120" w:type="dxa"/>
            </w:tcMar>
            <w:vAlign w:val="center"/>
          </w:tcPr>
          <w:p>
            <w:r>
              <w:rPr>
                <w:sz w:val="20"/>
              </w:rPr>
              <w:t>Shelves Area → Staging Area → Loading Zone → return path or loop reset</w:t>
            </w:r>
          </w:p>
        </w:tc>
      </w:tr>
      <w:tr>
        <w:tc>
          <w:tcPr>
            <w:tcW w:type="dxa" w:w="2880"/>
            <w:tcMar>
              <w:top w:w="80" w:type="dxa"/>
              <w:start w:w="120" w:type="dxa"/>
              <w:bottom w:w="80" w:type="dxa"/>
              <w:end w:w="120" w:type="dxa"/>
            </w:tcMar>
            <w:vAlign w:val="center"/>
          </w:tcPr>
          <w:p>
            <w:r>
              <w:rPr>
                <w:sz w:val="20"/>
              </w:rPr>
              <w:t>Failure patterns to observe</w:t>
            </w:r>
          </w:p>
        </w:tc>
        <w:tc>
          <w:tcPr>
            <w:tcW w:type="dxa" w:w="7056"/>
            <w:tcMar>
              <w:top w:w="80" w:type="dxa"/>
              <w:start w:w="120" w:type="dxa"/>
              <w:bottom w:w="80" w:type="dxa"/>
              <w:end w:w="120" w:type="dxa"/>
            </w:tcMar>
            <w:vAlign w:val="center"/>
          </w:tcPr>
          <w:p>
            <w:r>
              <w:rPr>
                <w:sz w:val="20"/>
              </w:rPr>
              <w:t>Spawn collisions, invalid state transitions, queue deadlock, unrealistically tight spacing, and metrics mismatching visible behavior.</w:t>
            </w:r>
          </w:p>
        </w:tc>
      </w:tr>
    </w:tbl>
    <w:p/>
    <w:p>
      <w:pPr>
        <w:pStyle w:val="Heading1"/>
      </w:pPr>
      <w:r>
        <w:t>7. Scenario Mapping</w:t>
      </w:r>
    </w:p>
    <w:tbl>
      <w:tblPr>
        <w:tblStyle w:val="TableGrid"/>
        <w:tblW w:type="auto" w:w="0"/>
        <w:jc w:val="left"/>
        <w:tblLook w:firstColumn="1" w:firstRow="1" w:lastColumn="0" w:lastRow="0" w:noHBand="0" w:noVBand="1" w:val="04A0"/>
      </w:tblPr>
      <w:tblGrid>
        <w:gridCol w:w="3312"/>
        <w:gridCol w:w="3312"/>
        <w:gridCol w:w="3312"/>
      </w:tblGrid>
      <w:tr>
        <w:trPr>
          <w:tblHeader w:val="true"/>
        </w:trPr>
        <w:tc>
          <w:tcPr>
            <w:tcW w:type="dxa" w:w="3168"/>
            <w:shd w:fill="D9EAF7"/>
            <w:tcMar>
              <w:top w:w="80" w:type="dxa"/>
              <w:start w:w="120" w:type="dxa"/>
              <w:bottom w:w="80" w:type="dxa"/>
              <w:end w:w="120" w:type="dxa"/>
            </w:tcMar>
            <w:vAlign w:val="center"/>
          </w:tcPr>
          <w:p>
            <w:r>
              <w:rPr>
                <w:b/>
                <w:color w:val="2C3E50"/>
                <w:sz w:val="20"/>
              </w:rPr>
              <w:t>Scenario</w:t>
            </w:r>
          </w:p>
        </w:tc>
        <w:tc>
          <w:tcPr>
            <w:tcW w:type="dxa" w:w="1872"/>
            <w:shd w:fill="D9EAF7"/>
            <w:tcMar>
              <w:top w:w="80" w:type="dxa"/>
              <w:start w:w="120" w:type="dxa"/>
              <w:bottom w:w="80" w:type="dxa"/>
              <w:end w:w="120" w:type="dxa"/>
            </w:tcMar>
            <w:vAlign w:val="center"/>
          </w:tcPr>
          <w:p>
            <w:r>
              <w:rPr>
                <w:b/>
                <w:color w:val="2C3E50"/>
                <w:sz w:val="20"/>
              </w:rPr>
              <w:t>Primary levers</w:t>
            </w:r>
          </w:p>
        </w:tc>
        <w:tc>
          <w:tcPr>
            <w:tcW w:type="dxa" w:w="4896"/>
            <w:shd w:fill="D9EAF7"/>
            <w:tcMar>
              <w:top w:w="80" w:type="dxa"/>
              <w:start w:w="120" w:type="dxa"/>
              <w:bottom w:w="80" w:type="dxa"/>
              <w:end w:w="120" w:type="dxa"/>
            </w:tcMar>
            <w:vAlign w:val="center"/>
          </w:tcPr>
          <w:p>
            <w:r>
              <w:rPr>
                <w:b/>
                <w:color w:val="2C3E50"/>
                <w:sz w:val="20"/>
              </w:rPr>
              <w:t>Expected area impact</w:t>
            </w:r>
          </w:p>
        </w:tc>
      </w:tr>
      <w:tr>
        <w:tc>
          <w:tcPr>
            <w:tcW w:type="dxa" w:w="3168"/>
            <w:tcMar>
              <w:top w:w="80" w:type="dxa"/>
              <w:start w:w="120" w:type="dxa"/>
              <w:bottom w:w="80" w:type="dxa"/>
              <w:end w:w="120" w:type="dxa"/>
            </w:tcMar>
            <w:vAlign w:val="center"/>
          </w:tcPr>
          <w:p>
            <w:r>
              <w:rPr>
                <w:sz w:val="20"/>
              </w:rPr>
              <w:t>Dock Queue</w:t>
            </w:r>
          </w:p>
        </w:tc>
        <w:tc>
          <w:tcPr>
            <w:tcW w:type="dxa" w:w="1872"/>
            <w:tcMar>
              <w:top w:w="80" w:type="dxa"/>
              <w:start w:w="120" w:type="dxa"/>
              <w:bottom w:w="80" w:type="dxa"/>
              <w:end w:w="120" w:type="dxa"/>
            </w:tcMar>
            <w:vAlign w:val="center"/>
          </w:tcPr>
          <w:p>
            <w:r>
              <w:rPr>
                <w:sz w:val="20"/>
              </w:rPr>
              <w:t>Longer loading time, dock capacity = 1, faster arrivals</w:t>
            </w:r>
          </w:p>
        </w:tc>
        <w:tc>
          <w:tcPr>
            <w:tcW w:type="dxa" w:w="4896"/>
            <w:tcMar>
              <w:top w:w="80" w:type="dxa"/>
              <w:start w:w="120" w:type="dxa"/>
              <w:bottom w:w="80" w:type="dxa"/>
              <w:end w:w="120" w:type="dxa"/>
            </w:tcMar>
            <w:vAlign w:val="center"/>
          </w:tcPr>
          <w:p>
            <w:r>
              <w:rPr>
                <w:sz w:val="20"/>
              </w:rPr>
              <w:t>Queue forms in Loading Zone and pressure rises upstream.</w:t>
            </w:r>
          </w:p>
        </w:tc>
      </w:tr>
      <w:tr>
        <w:tc>
          <w:tcPr>
            <w:tcW w:type="dxa" w:w="3168"/>
            <w:tcMar>
              <w:top w:w="80" w:type="dxa"/>
              <w:start w:w="120" w:type="dxa"/>
              <w:bottom w:w="80" w:type="dxa"/>
              <w:end w:w="120" w:type="dxa"/>
            </w:tcMar>
            <w:vAlign w:val="center"/>
          </w:tcPr>
          <w:p>
            <w:r>
              <w:rPr>
                <w:sz w:val="20"/>
              </w:rPr>
              <w:t>Loading Pause</w:t>
            </w:r>
          </w:p>
        </w:tc>
        <w:tc>
          <w:tcPr>
            <w:tcW w:type="dxa" w:w="1872"/>
            <w:tcMar>
              <w:top w:w="80" w:type="dxa"/>
              <w:start w:w="120" w:type="dxa"/>
              <w:bottom w:w="80" w:type="dxa"/>
              <w:end w:w="120" w:type="dxa"/>
            </w:tcMar>
            <w:vAlign w:val="center"/>
          </w:tcPr>
          <w:p>
            <w:r>
              <w:rPr>
                <w:sz w:val="20"/>
              </w:rPr>
              <w:t>LoadingDoor.is_open = False or LoadingZone.is_blocked = True</w:t>
            </w:r>
          </w:p>
        </w:tc>
        <w:tc>
          <w:tcPr>
            <w:tcW w:type="dxa" w:w="4896"/>
            <w:tcMar>
              <w:top w:w="80" w:type="dxa"/>
              <w:start w:w="120" w:type="dxa"/>
              <w:bottom w:w="80" w:type="dxa"/>
              <w:end w:w="120" w:type="dxa"/>
            </w:tcMar>
            <w:vAlign w:val="center"/>
          </w:tcPr>
          <w:p>
            <w:r>
              <w:rPr>
                <w:sz w:val="20"/>
              </w:rPr>
              <w:t>Forklifts stop advancing to service and queues accumulate.</w:t>
            </w:r>
          </w:p>
        </w:tc>
      </w:tr>
      <w:tr>
        <w:tc>
          <w:tcPr>
            <w:tcW w:type="dxa" w:w="3168"/>
            <w:tcMar>
              <w:top w:w="80" w:type="dxa"/>
              <w:start w:w="120" w:type="dxa"/>
              <w:bottom w:w="80" w:type="dxa"/>
              <w:end w:w="120" w:type="dxa"/>
            </w:tcMar>
            <w:vAlign w:val="center"/>
          </w:tcPr>
          <w:p>
            <w:r>
              <w:rPr>
                <w:sz w:val="20"/>
              </w:rPr>
              <w:t>Area Build-Up</w:t>
            </w:r>
          </w:p>
        </w:tc>
        <w:tc>
          <w:tcPr>
            <w:tcW w:type="dxa" w:w="1872"/>
            <w:tcMar>
              <w:top w:w="80" w:type="dxa"/>
              <w:start w:w="120" w:type="dxa"/>
              <w:bottom w:w="80" w:type="dxa"/>
              <w:end w:w="120" w:type="dxa"/>
            </w:tcMar>
            <w:vAlign w:val="center"/>
          </w:tcPr>
          <w:p>
            <w:r>
              <w:rPr>
                <w:sz w:val="20"/>
              </w:rPr>
              <w:t>Staging inflow &gt; outflow</w:t>
            </w:r>
          </w:p>
        </w:tc>
        <w:tc>
          <w:tcPr>
            <w:tcW w:type="dxa" w:w="4896"/>
            <w:tcMar>
              <w:top w:w="80" w:type="dxa"/>
              <w:start w:w="120" w:type="dxa"/>
              <w:bottom w:w="80" w:type="dxa"/>
              <w:end w:w="120" w:type="dxa"/>
            </w:tcMar>
            <w:vAlign w:val="center"/>
          </w:tcPr>
          <w:p>
            <w:r>
              <w:rPr>
                <w:sz w:val="20"/>
              </w:rPr>
              <w:t>StagingArea occupancy and dwell increase.</w:t>
            </w:r>
          </w:p>
        </w:tc>
      </w:tr>
      <w:tr>
        <w:tc>
          <w:tcPr>
            <w:tcW w:type="dxa" w:w="3168"/>
            <w:tcMar>
              <w:top w:w="80" w:type="dxa"/>
              <w:start w:w="120" w:type="dxa"/>
              <w:bottom w:w="80" w:type="dxa"/>
              <w:end w:w="120" w:type="dxa"/>
            </w:tcMar>
            <w:vAlign w:val="center"/>
          </w:tcPr>
          <w:p>
            <w:r>
              <w:rPr>
                <w:sz w:val="20"/>
              </w:rPr>
              <w:t>Aisle Congestion</w:t>
            </w:r>
          </w:p>
        </w:tc>
        <w:tc>
          <w:tcPr>
            <w:tcW w:type="dxa" w:w="1872"/>
            <w:tcMar>
              <w:top w:w="80" w:type="dxa"/>
              <w:start w:w="120" w:type="dxa"/>
              <w:bottom w:w="80" w:type="dxa"/>
              <w:end w:w="120" w:type="dxa"/>
            </w:tcMar>
            <w:vAlign w:val="center"/>
          </w:tcPr>
          <w:p>
            <w:r>
              <w:rPr>
                <w:sz w:val="20"/>
              </w:rPr>
              <w:t>Shared aisle timing, low speed thresholds, choke point use</w:t>
            </w:r>
          </w:p>
        </w:tc>
        <w:tc>
          <w:tcPr>
            <w:tcW w:type="dxa" w:w="4896"/>
            <w:tcMar>
              <w:top w:w="80" w:type="dxa"/>
              <w:start w:w="120" w:type="dxa"/>
              <w:bottom w:w="80" w:type="dxa"/>
              <w:end w:w="120" w:type="dxa"/>
            </w:tcMar>
            <w:vAlign w:val="center"/>
          </w:tcPr>
          <w:p>
            <w:r>
              <w:rPr>
                <w:sz w:val="20"/>
              </w:rPr>
              <w:t>ShelvesArea speeds drop and local occupancy rises.</w:t>
            </w:r>
          </w:p>
        </w:tc>
      </w:tr>
      <w:tr>
        <w:tc>
          <w:tcPr>
            <w:tcW w:type="dxa" w:w="3168"/>
            <w:tcMar>
              <w:top w:w="80" w:type="dxa"/>
              <w:start w:w="120" w:type="dxa"/>
              <w:bottom w:w="80" w:type="dxa"/>
              <w:end w:w="120" w:type="dxa"/>
            </w:tcMar>
            <w:vAlign w:val="center"/>
          </w:tcPr>
          <w:p>
            <w:r>
              <w:rPr>
                <w:sz w:val="20"/>
              </w:rPr>
              <w:t>Vehicle Idle</w:t>
            </w:r>
          </w:p>
        </w:tc>
        <w:tc>
          <w:tcPr>
            <w:tcW w:type="dxa" w:w="1872"/>
            <w:tcMar>
              <w:top w:w="80" w:type="dxa"/>
              <w:start w:w="120" w:type="dxa"/>
              <w:bottom w:w="80" w:type="dxa"/>
              <w:end w:w="120" w:type="dxa"/>
            </w:tcMar>
            <w:vAlign w:val="center"/>
          </w:tcPr>
          <w:p>
            <w:r>
              <w:rPr>
                <w:sz w:val="20"/>
              </w:rPr>
              <w:t>No downstream action or no task available</w:t>
            </w:r>
          </w:p>
        </w:tc>
        <w:tc>
          <w:tcPr>
            <w:tcW w:type="dxa" w:w="4896"/>
            <w:tcMar>
              <w:top w:w="80" w:type="dxa"/>
              <w:start w:w="120" w:type="dxa"/>
              <w:bottom w:w="80" w:type="dxa"/>
              <w:end w:w="120" w:type="dxa"/>
            </w:tcMar>
            <w:vAlign w:val="center"/>
          </w:tcPr>
          <w:p>
            <w:r>
              <w:rPr>
                <w:sz w:val="20"/>
              </w:rPr>
              <w:t>Forklift remains waiting or idle in staging or shelves.</w:t>
            </w:r>
          </w:p>
        </w:tc>
      </w:tr>
      <w:tr>
        <w:tc>
          <w:tcPr>
            <w:tcW w:type="dxa" w:w="3168"/>
            <w:tcMar>
              <w:top w:w="80" w:type="dxa"/>
              <w:start w:w="120" w:type="dxa"/>
              <w:bottom w:w="80" w:type="dxa"/>
              <w:end w:w="120" w:type="dxa"/>
            </w:tcMar>
            <w:vAlign w:val="center"/>
          </w:tcPr>
          <w:p>
            <w:r>
              <w:rPr>
                <w:sz w:val="20"/>
              </w:rPr>
              <w:t>Safety Proximity</w:t>
            </w:r>
          </w:p>
        </w:tc>
        <w:tc>
          <w:tcPr>
            <w:tcW w:type="dxa" w:w="1872"/>
            <w:tcMar>
              <w:top w:w="80" w:type="dxa"/>
              <w:start w:w="120" w:type="dxa"/>
              <w:bottom w:w="80" w:type="dxa"/>
              <w:end w:w="120" w:type="dxa"/>
            </w:tcMar>
            <w:vAlign w:val="center"/>
          </w:tcPr>
          <w:p>
            <w:r>
              <w:rPr>
                <w:sz w:val="20"/>
              </w:rPr>
              <w:t>Distance threshold breaches in dock or aisles</w:t>
            </w:r>
          </w:p>
        </w:tc>
        <w:tc>
          <w:tcPr>
            <w:tcW w:type="dxa" w:w="4896"/>
            <w:tcMar>
              <w:top w:w="80" w:type="dxa"/>
              <w:start w:w="120" w:type="dxa"/>
              <w:bottom w:w="80" w:type="dxa"/>
              <w:end w:w="120" w:type="dxa"/>
            </w:tcMar>
            <w:vAlign w:val="center"/>
          </w:tcPr>
          <w:p>
            <w:r>
              <w:rPr>
                <w:sz w:val="20"/>
              </w:rPr>
              <w:t>Event log captures near-neighbor duration and affected zone.</w:t>
            </w:r>
          </w:p>
        </w:tc>
      </w:tr>
    </w:tbl>
    <w:p/>
    <w:p>
      <w:pPr>
        <w:pStyle w:val="Heading1"/>
      </w:pPr>
      <w:r>
        <w:t>8. Monitoring and Metrics</w:t>
      </w:r>
    </w:p>
    <w:p>
      <w:pPr>
        <w:spacing w:after="40"/>
        <w:ind w:left="288" w:hanging="216"/>
      </w:pPr>
      <w:r>
        <w:rPr>
          <w:sz w:val="21"/>
        </w:rPr>
        <w:t>• Per zone: forklift count, pallet count, average speed, occupancy over time, dwell totals, and transition counts.</w:t>
      </w:r>
    </w:p>
    <w:p>
      <w:pPr>
        <w:spacing w:after="40"/>
        <w:ind w:left="288" w:hanging="216"/>
      </w:pPr>
      <w:r>
        <w:rPr>
          <w:sz w:val="21"/>
        </w:rPr>
        <w:t>• Per forklift: current state, current zone, has_pallet, time in state, time in zone, and nearest-neighbor proximity.</w:t>
      </w:r>
    </w:p>
    <w:p>
      <w:pPr>
        <w:spacing w:after="40"/>
        <w:ind w:left="288" w:hanging="216"/>
      </w:pPr>
      <w:r>
        <w:rPr>
          <w:sz w:val="21"/>
        </w:rPr>
        <w:t>• Per event: door open/close, queue formed, buildup threshold exceeded, state hold too long, pallet transfer, and proximity alert.</w:t>
      </w:r>
    </w:p>
    <w:tbl>
      <w:tblPr>
        <w:tblW w:type="auto" w:w="0"/>
        <w:jc w:val="left"/>
        <w:tblLook w:firstColumn="1" w:firstRow="1" w:lastColumn="0" w:lastRow="0" w:noHBand="0" w:noVBand="1" w:val="04A0"/>
      </w:tblPr>
      <w:tblGrid>
        <w:gridCol w:w="9936"/>
      </w:tblGrid>
      <w:tr>
        <w:tc>
          <w:tcPr>
            <w:tcW w:type="dxa" w:w="9936"/>
            <w:shd w:fill="D9EAF7"/>
            <w:tcMar>
              <w:top w:w="60" w:type="dxa"/>
              <w:start w:w="120" w:type="dxa"/>
              <w:bottom w:w="60" w:type="dxa"/>
              <w:end w:w="120" w:type="dxa"/>
            </w:tcMar>
          </w:tcPr>
          <w:p>
            <w:pPr>
              <w:spacing w:after="0"/>
            </w:pPr>
            <w:r>
              <w:rPr>
                <w:rFonts w:ascii="Aptos" w:hAnsi="Aptos"/>
                <w:b/>
                <w:color w:val="2C3E50"/>
                <w:sz w:val="22"/>
              </w:rPr>
              <w:t>Metrics principle</w:t>
            </w:r>
          </w:p>
        </w:tc>
      </w:tr>
    </w:tbl>
    <w:p>
      <w:r>
        <w:t>Zones are the measurement layer; objects are the control layer. This division should remain visible in the implementation so the simulation can be reasoned about without stepping through every movement frame.</w:t>
      </w:r>
    </w:p>
    <w:p>
      <w:pPr>
        <w:pStyle w:val="Heading1"/>
      </w:pPr>
      <w:r>
        <w:t>9. Implementation Phases</w:t>
      </w:r>
    </w:p>
    <w:tbl>
      <w:tblPr>
        <w:tblStyle w:val="TableGrid"/>
        <w:tblW w:type="auto" w:w="0"/>
        <w:jc w:val="left"/>
        <w:tblLook w:firstColumn="1" w:firstRow="1" w:lastColumn="0" w:lastRow="0" w:noHBand="0" w:noVBand="1" w:val="04A0"/>
      </w:tblPr>
      <w:tblGrid>
        <w:gridCol w:w="3312"/>
        <w:gridCol w:w="3312"/>
        <w:gridCol w:w="3312"/>
      </w:tblGrid>
      <w:tr>
        <w:trPr>
          <w:tblHeader w:val="true"/>
        </w:trPr>
        <w:tc>
          <w:tcPr>
            <w:tcW w:type="dxa" w:w="3168"/>
            <w:shd w:fill="D9EAF7"/>
            <w:tcMar>
              <w:top w:w="80" w:type="dxa"/>
              <w:start w:w="120" w:type="dxa"/>
              <w:bottom w:w="80" w:type="dxa"/>
              <w:end w:w="120" w:type="dxa"/>
            </w:tcMar>
            <w:vAlign w:val="center"/>
          </w:tcPr>
          <w:p>
            <w:r>
              <w:rPr>
                <w:b/>
                <w:color w:val="2C3E50"/>
                <w:sz w:val="20"/>
              </w:rPr>
              <w:t>Phase</w:t>
            </w:r>
          </w:p>
        </w:tc>
        <w:tc>
          <w:tcPr>
            <w:tcW w:type="dxa" w:w="1872"/>
            <w:shd w:fill="D9EAF7"/>
            <w:tcMar>
              <w:top w:w="80" w:type="dxa"/>
              <w:start w:w="120" w:type="dxa"/>
              <w:bottom w:w="80" w:type="dxa"/>
              <w:end w:w="120" w:type="dxa"/>
            </w:tcMar>
            <w:vAlign w:val="center"/>
          </w:tcPr>
          <w:p>
            <w:r>
              <w:rPr>
                <w:b/>
                <w:color w:val="2C3E50"/>
                <w:sz w:val="20"/>
              </w:rPr>
              <w:t>Primary output</w:t>
            </w:r>
          </w:p>
        </w:tc>
        <w:tc>
          <w:tcPr>
            <w:tcW w:type="dxa" w:w="4896"/>
            <w:shd w:fill="D9EAF7"/>
            <w:tcMar>
              <w:top w:w="80" w:type="dxa"/>
              <w:start w:w="120" w:type="dxa"/>
              <w:bottom w:w="80" w:type="dxa"/>
              <w:end w:w="120" w:type="dxa"/>
            </w:tcMar>
            <w:vAlign w:val="center"/>
          </w:tcPr>
          <w:p>
            <w:r>
              <w:rPr>
                <w:b/>
                <w:color w:val="2C3E50"/>
                <w:sz w:val="20"/>
              </w:rPr>
              <w:t>Isaac Sim 5.1 note</w:t>
            </w:r>
          </w:p>
        </w:tc>
      </w:tr>
      <w:tr>
        <w:tc>
          <w:tcPr>
            <w:tcW w:type="dxa" w:w="3168"/>
            <w:tcMar>
              <w:top w:w="80" w:type="dxa"/>
              <w:start w:w="120" w:type="dxa"/>
              <w:bottom w:w="80" w:type="dxa"/>
              <w:end w:w="120" w:type="dxa"/>
            </w:tcMar>
            <w:vAlign w:val="center"/>
          </w:tcPr>
          <w:p>
            <w:r>
              <w:rPr>
                <w:sz w:val="20"/>
              </w:rPr>
              <w:t>1. Version verification</w:t>
            </w:r>
          </w:p>
        </w:tc>
        <w:tc>
          <w:tcPr>
            <w:tcW w:type="dxa" w:w="1872"/>
            <w:tcMar>
              <w:top w:w="80" w:type="dxa"/>
              <w:start w:w="120" w:type="dxa"/>
              <w:bottom w:w="80" w:type="dxa"/>
              <w:end w:w="120" w:type="dxa"/>
            </w:tcMar>
            <w:vAlign w:val="center"/>
          </w:tcPr>
          <w:p>
            <w:r>
              <w:rPr>
                <w:sz w:val="20"/>
              </w:rPr>
              <w:t>Confirm 5.1 extension names, stage patterns, physics loop hooks, and asset availability.</w:t>
            </w:r>
          </w:p>
        </w:tc>
        <w:tc>
          <w:tcPr>
            <w:tcW w:type="dxa" w:w="4896"/>
            <w:tcMar>
              <w:top w:w="80" w:type="dxa"/>
              <w:start w:w="120" w:type="dxa"/>
              <w:bottom w:w="80" w:type="dxa"/>
              <w:end w:w="120" w:type="dxa"/>
            </w:tcMar>
            <w:vAlign w:val="center"/>
          </w:tcPr>
          <w:p>
            <w:r>
              <w:rPr>
                <w:sz w:val="20"/>
              </w:rPr>
              <w:t>Must be done manually before trusting generated simulator-facing code.</w:t>
            </w:r>
          </w:p>
        </w:tc>
      </w:tr>
      <w:tr>
        <w:tc>
          <w:tcPr>
            <w:tcW w:type="dxa" w:w="3168"/>
            <w:tcMar>
              <w:top w:w="80" w:type="dxa"/>
              <w:start w:w="120" w:type="dxa"/>
              <w:bottom w:w="80" w:type="dxa"/>
              <w:end w:w="120" w:type="dxa"/>
            </w:tcMar>
            <w:vAlign w:val="center"/>
          </w:tcPr>
          <w:p>
            <w:r>
              <w:rPr>
                <w:sz w:val="20"/>
              </w:rPr>
              <w:t>2. Scene skeleton</w:t>
            </w:r>
          </w:p>
        </w:tc>
        <w:tc>
          <w:tcPr>
            <w:tcW w:type="dxa" w:w="1872"/>
            <w:tcMar>
              <w:top w:w="80" w:type="dxa"/>
              <w:start w:w="120" w:type="dxa"/>
              <w:bottom w:w="80" w:type="dxa"/>
              <w:end w:w="120" w:type="dxa"/>
            </w:tcMar>
            <w:vAlign w:val="center"/>
          </w:tcPr>
          <w:p>
            <w:r>
              <w:rPr>
                <w:sz w:val="20"/>
              </w:rPr>
              <w:t>Build floor, racks, staging area, dock, queue slots, and waypoints.</w:t>
            </w:r>
          </w:p>
        </w:tc>
        <w:tc>
          <w:tcPr>
            <w:tcW w:type="dxa" w:w="4896"/>
            <w:tcMar>
              <w:top w:w="80" w:type="dxa"/>
              <w:start w:w="120" w:type="dxa"/>
              <w:bottom w:w="80" w:type="dxa"/>
              <w:end w:w="120" w:type="dxa"/>
            </w:tcMar>
            <w:vAlign w:val="center"/>
          </w:tcPr>
          <w:p>
            <w:r>
              <w:rPr>
                <w:sz w:val="20"/>
              </w:rPr>
              <w:t>Use adapter layer for stage and prim creation.</w:t>
            </w:r>
          </w:p>
        </w:tc>
      </w:tr>
      <w:tr>
        <w:tc>
          <w:tcPr>
            <w:tcW w:type="dxa" w:w="3168"/>
            <w:tcMar>
              <w:top w:w="80" w:type="dxa"/>
              <w:start w:w="120" w:type="dxa"/>
              <w:bottom w:w="80" w:type="dxa"/>
              <w:end w:w="120" w:type="dxa"/>
            </w:tcMar>
            <w:vAlign w:val="center"/>
          </w:tcPr>
          <w:p>
            <w:r>
              <w:rPr>
                <w:sz w:val="20"/>
              </w:rPr>
              <w:t>3. Object-state model</w:t>
            </w:r>
          </w:p>
        </w:tc>
        <w:tc>
          <w:tcPr>
            <w:tcW w:type="dxa" w:w="1872"/>
            <w:tcMar>
              <w:top w:w="80" w:type="dxa"/>
              <w:start w:w="120" w:type="dxa"/>
              <w:bottom w:w="80" w:type="dxa"/>
              <w:end w:w="120" w:type="dxa"/>
            </w:tcMar>
            <w:vAlign w:val="center"/>
          </w:tcPr>
          <w:p>
            <w:r>
              <w:rPr>
                <w:sz w:val="20"/>
              </w:rPr>
              <w:t>Implement LoadingDoor, areas, forklifts, pallets, and slots as data/state objects.</w:t>
            </w:r>
          </w:p>
        </w:tc>
        <w:tc>
          <w:tcPr>
            <w:tcW w:type="dxa" w:w="4896"/>
            <w:tcMar>
              <w:top w:w="80" w:type="dxa"/>
              <w:start w:w="120" w:type="dxa"/>
              <w:bottom w:w="80" w:type="dxa"/>
              <w:end w:w="120" w:type="dxa"/>
            </w:tcMar>
            <w:vAlign w:val="center"/>
          </w:tcPr>
          <w:p>
            <w:r>
              <w:rPr>
                <w:sz w:val="20"/>
              </w:rPr>
              <w:t>Safe for broad generation.</w:t>
            </w:r>
          </w:p>
        </w:tc>
      </w:tr>
      <w:tr>
        <w:tc>
          <w:tcPr>
            <w:tcW w:type="dxa" w:w="3168"/>
            <w:tcMar>
              <w:top w:w="80" w:type="dxa"/>
              <w:start w:w="120" w:type="dxa"/>
              <w:bottom w:w="80" w:type="dxa"/>
              <w:end w:w="120" w:type="dxa"/>
            </w:tcMar>
            <w:vAlign w:val="center"/>
          </w:tcPr>
          <w:p>
            <w:r>
              <w:rPr>
                <w:sz w:val="20"/>
              </w:rPr>
              <w:t>4. State machine + rules</w:t>
            </w:r>
          </w:p>
        </w:tc>
        <w:tc>
          <w:tcPr>
            <w:tcW w:type="dxa" w:w="1872"/>
            <w:tcMar>
              <w:top w:w="80" w:type="dxa"/>
              <w:start w:w="120" w:type="dxa"/>
              <w:bottom w:w="80" w:type="dxa"/>
              <w:end w:w="120" w:type="dxa"/>
            </w:tcMar>
            <w:vAlign w:val="center"/>
          </w:tcPr>
          <w:p>
            <w:r>
              <w:rPr>
                <w:sz w:val="20"/>
              </w:rPr>
              <w:t>Implement forklift transitions, release logic, and queue handling.</w:t>
            </w:r>
          </w:p>
        </w:tc>
        <w:tc>
          <w:tcPr>
            <w:tcW w:type="dxa" w:w="4896"/>
            <w:tcMar>
              <w:top w:w="80" w:type="dxa"/>
              <w:start w:w="120" w:type="dxa"/>
              <w:bottom w:w="80" w:type="dxa"/>
              <w:end w:w="120" w:type="dxa"/>
            </w:tcMar>
            <w:vAlign w:val="center"/>
          </w:tcPr>
          <w:p>
            <w:r>
              <w:rPr>
                <w:sz w:val="20"/>
              </w:rPr>
              <w:t>Safe for broad generation; validate runtime behavior visually.</w:t>
            </w:r>
          </w:p>
        </w:tc>
      </w:tr>
      <w:tr>
        <w:tc>
          <w:tcPr>
            <w:tcW w:type="dxa" w:w="3168"/>
            <w:tcMar>
              <w:top w:w="80" w:type="dxa"/>
              <w:start w:w="120" w:type="dxa"/>
              <w:bottom w:w="80" w:type="dxa"/>
              <w:end w:w="120" w:type="dxa"/>
            </w:tcMar>
            <w:vAlign w:val="center"/>
          </w:tcPr>
          <w:p>
            <w:r>
              <w:rPr>
                <w:sz w:val="20"/>
              </w:rPr>
              <w:t>5. Monitoring + logs</w:t>
            </w:r>
          </w:p>
        </w:tc>
        <w:tc>
          <w:tcPr>
            <w:tcW w:type="dxa" w:w="1872"/>
            <w:tcMar>
              <w:top w:w="80" w:type="dxa"/>
              <w:start w:w="120" w:type="dxa"/>
              <w:bottom w:w="80" w:type="dxa"/>
              <w:end w:w="120" w:type="dxa"/>
            </w:tcMar>
            <w:vAlign w:val="center"/>
          </w:tcPr>
          <w:p>
            <w:r>
              <w:rPr>
                <w:sz w:val="20"/>
              </w:rPr>
              <w:t>Zone monitors, event logging, and CSV or JSON metrics.</w:t>
            </w:r>
          </w:p>
        </w:tc>
        <w:tc>
          <w:tcPr>
            <w:tcW w:type="dxa" w:w="4896"/>
            <w:tcMar>
              <w:top w:w="80" w:type="dxa"/>
              <w:start w:w="120" w:type="dxa"/>
              <w:bottom w:w="80" w:type="dxa"/>
              <w:end w:w="120" w:type="dxa"/>
            </w:tcMar>
            <w:vAlign w:val="center"/>
          </w:tcPr>
          <w:p>
            <w:r>
              <w:rPr>
                <w:sz w:val="20"/>
              </w:rPr>
              <w:t>Safe for broad generation.</w:t>
            </w:r>
          </w:p>
        </w:tc>
      </w:tr>
      <w:tr>
        <w:tc>
          <w:tcPr>
            <w:tcW w:type="dxa" w:w="3168"/>
            <w:tcMar>
              <w:top w:w="80" w:type="dxa"/>
              <w:start w:w="120" w:type="dxa"/>
              <w:bottom w:w="80" w:type="dxa"/>
              <w:end w:w="120" w:type="dxa"/>
            </w:tcMar>
            <w:vAlign w:val="center"/>
          </w:tcPr>
          <w:p>
            <w:r>
              <w:rPr>
                <w:sz w:val="20"/>
              </w:rPr>
              <w:t>6. Scenario presets</w:t>
            </w:r>
          </w:p>
        </w:tc>
        <w:tc>
          <w:tcPr>
            <w:tcW w:type="dxa" w:w="1872"/>
            <w:tcMar>
              <w:top w:w="80" w:type="dxa"/>
              <w:start w:w="120" w:type="dxa"/>
              <w:bottom w:w="80" w:type="dxa"/>
              <w:end w:w="120" w:type="dxa"/>
            </w:tcMar>
            <w:vAlign w:val="center"/>
          </w:tcPr>
          <w:p>
            <w:r>
              <w:rPr>
                <w:sz w:val="20"/>
              </w:rPr>
              <w:t>Parameterize Dock Queue, Loading Pause, Area Build-Up, Aisle Congestion, Vehicle Idle, Safety Proximity.</w:t>
            </w:r>
          </w:p>
        </w:tc>
        <w:tc>
          <w:tcPr>
            <w:tcW w:type="dxa" w:w="4896"/>
            <w:tcMar>
              <w:top w:w="80" w:type="dxa"/>
              <w:start w:w="120" w:type="dxa"/>
              <w:bottom w:w="80" w:type="dxa"/>
              <w:end w:w="120" w:type="dxa"/>
            </w:tcMar>
            <w:vAlign w:val="center"/>
          </w:tcPr>
          <w:p>
            <w:r>
              <w:rPr>
                <w:sz w:val="20"/>
              </w:rPr>
              <w:t>Keep presets data-driven.</w:t>
            </w:r>
          </w:p>
        </w:tc>
      </w:tr>
      <w:tr>
        <w:tc>
          <w:tcPr>
            <w:tcW w:type="dxa" w:w="3168"/>
            <w:tcMar>
              <w:top w:w="80" w:type="dxa"/>
              <w:start w:w="120" w:type="dxa"/>
              <w:bottom w:w="80" w:type="dxa"/>
              <w:end w:w="120" w:type="dxa"/>
            </w:tcMar>
            <w:vAlign w:val="center"/>
          </w:tcPr>
          <w:p>
            <w:r>
              <w:rPr>
                <w:sz w:val="20"/>
              </w:rPr>
              <w:t>7. Validation</w:t>
            </w:r>
          </w:p>
        </w:tc>
        <w:tc>
          <w:tcPr>
            <w:tcW w:type="dxa" w:w="1872"/>
            <w:tcMar>
              <w:top w:w="80" w:type="dxa"/>
              <w:start w:w="120" w:type="dxa"/>
              <w:bottom w:w="80" w:type="dxa"/>
              <w:end w:w="120" w:type="dxa"/>
            </w:tcMar>
            <w:vAlign w:val="center"/>
          </w:tcPr>
          <w:p>
            <w:r>
              <w:rPr>
                <w:sz w:val="20"/>
              </w:rPr>
              <w:t>Compare visible behavior against metrics and thresholds.</w:t>
            </w:r>
          </w:p>
        </w:tc>
        <w:tc>
          <w:tcPr>
            <w:tcW w:type="dxa" w:w="4896"/>
            <w:tcMar>
              <w:top w:w="80" w:type="dxa"/>
              <w:start w:w="120" w:type="dxa"/>
              <w:bottom w:w="80" w:type="dxa"/>
              <w:end w:w="120" w:type="dxa"/>
            </w:tcMar>
            <w:vAlign w:val="center"/>
          </w:tcPr>
          <w:p>
            <w:r>
              <w:rPr>
                <w:sz w:val="20"/>
              </w:rPr>
              <w:t>Must be manual in Isaac Sim 5.1.</w:t>
            </w:r>
          </w:p>
        </w:tc>
      </w:tr>
    </w:tbl>
    <w:p/>
    <w:p>
      <w:pPr>
        <w:pStyle w:val="Heading1"/>
      </w:pPr>
      <w:r>
        <w:t>10. Repository Architecture</w:t>
      </w:r>
    </w:p>
    <w:p>
      <w:r>
        <w:t>Keep the simulator-facing layer narrow and isolate 5.1-specific calls. The rest of the project should operate on ordinary Python objects and rules.</w:t>
      </w:r>
    </w:p>
    <w:p>
      <w:pPr>
        <w:spacing w:after="40"/>
        <w:ind w:left="288" w:hanging="216"/>
      </w:pPr>
      <w:r>
        <w:rPr>
          <w:sz w:val="21"/>
        </w:rPr>
        <w:t>• config/: layout, object defaults, scenario presets</w:t>
      </w:r>
    </w:p>
    <w:p>
      <w:pPr>
        <w:spacing w:after="40"/>
        <w:ind w:left="288" w:hanging="216"/>
      </w:pPr>
      <w:r>
        <w:rPr>
          <w:sz w:val="21"/>
        </w:rPr>
        <w:t>• models/: object state classes for door, zones, forklift, pallet, and slots</w:t>
      </w:r>
    </w:p>
    <w:p>
      <w:pPr>
        <w:spacing w:after="40"/>
        <w:ind w:left="288" w:hanging="216"/>
      </w:pPr>
      <w:r>
        <w:rPr>
          <w:sz w:val="21"/>
        </w:rPr>
        <w:t>• logic/: state machine, rule engine, loading manager, staging manager, pallet flow</w:t>
      </w:r>
    </w:p>
    <w:p>
      <w:pPr>
        <w:spacing w:after="40"/>
        <w:ind w:left="288" w:hanging="216"/>
      </w:pPr>
      <w:r>
        <w:rPr>
          <w:sz w:val="21"/>
        </w:rPr>
        <w:t>• scene/: stage builder, zones, waypoints, Isaac Sim adapters</w:t>
      </w:r>
    </w:p>
    <w:p>
      <w:pPr>
        <w:spacing w:after="40"/>
        <w:ind w:left="288" w:hanging="216"/>
      </w:pPr>
      <w:r>
        <w:rPr>
          <w:sz w:val="21"/>
        </w:rPr>
        <w:t>• monitoring/: zone monitor, metrics logger, event logger, proximity monitor</w:t>
      </w:r>
    </w:p>
    <w:p>
      <w:pPr>
        <w:spacing w:after="40"/>
        <w:ind w:left="288" w:hanging="216"/>
      </w:pPr>
      <w:r>
        <w:rPr>
          <w:sz w:val="21"/>
        </w:rPr>
        <w:t>• output/: logs and metrics artifacts</w:t>
      </w:r>
    </w:p>
    <w:p>
      <w:pPr>
        <w:pStyle w:val="Heading1"/>
      </w:pPr>
      <w:r>
        <w:t>11. Design Approval Checklist</w:t>
      </w:r>
    </w:p>
    <w:p>
      <w:pPr>
        <w:spacing w:after="40"/>
        <w:ind w:left="288" w:hanging="216"/>
      </w:pPr>
      <w:r>
        <w:rPr>
          <w:sz w:val="21"/>
        </w:rPr>
        <w:t>• Physical zone layout is fixed and believable.</w:t>
      </w:r>
    </w:p>
    <w:p>
      <w:pPr>
        <w:spacing w:after="40"/>
        <w:ind w:left="288" w:hanging="216"/>
      </w:pPr>
      <w:r>
        <w:rPr>
          <w:sz w:val="21"/>
        </w:rPr>
        <w:t>• Queue slots and staging hold positions are explicit.</w:t>
      </w:r>
    </w:p>
    <w:p>
      <w:pPr>
        <w:spacing w:after="40"/>
        <w:ind w:left="288" w:hanging="216"/>
      </w:pPr>
      <w:r>
        <w:rPr>
          <w:sz w:val="21"/>
        </w:rPr>
        <w:t>• Object state definitions are finite and unambiguous.</w:t>
      </w:r>
    </w:p>
    <w:p>
      <w:pPr>
        <w:spacing w:after="40"/>
        <w:ind w:left="288" w:hanging="216"/>
      </w:pPr>
      <w:r>
        <w:rPr>
          <w:sz w:val="21"/>
        </w:rPr>
        <w:t>• Rule engine covers door closure, dock occupancy, staging buildup, and pallet consistency.</w:t>
      </w:r>
    </w:p>
    <w:p>
      <w:pPr>
        <w:spacing w:after="40"/>
        <w:ind w:left="288" w:hanging="216"/>
      </w:pPr>
      <w:r>
        <w:rPr>
          <w:sz w:val="21"/>
        </w:rPr>
        <w:t>• Isaac Sim 5.1 integration points are isolated behind helpers.</w:t>
      </w:r>
    </w:p>
    <w:p>
      <w:pPr>
        <w:spacing w:after="40"/>
        <w:ind w:left="288" w:hanging="216"/>
      </w:pPr>
      <w:r>
        <w:rPr>
          <w:sz w:val="21"/>
        </w:rPr>
        <w:t>• Scenario presets change behavior without changing scene geometry.</w:t>
      </w:r>
    </w:p>
    <w:p>
      <w:pPr>
        <w:spacing w:after="40"/>
        <w:ind w:left="288" w:hanging="216"/>
      </w:pPr>
      <w:r>
        <w:rPr>
          <w:sz w:val="21"/>
        </w:rPr>
        <w:t>• Metrics capture what operators actually need to review.</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8"/>
        <w:sz w:val="18"/>
      </w:rPr>
      <w:t>Isaac Sim 5.1 Design Plan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B78"/>
        <w:sz w:val="18"/>
      </w:rPr>
      <w:t>Isaac Sim 5.1 Design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line="240" w:lineRule="auto"/>
    </w:pPr>
    <w:rPr>
      <w:rFonts w:ascii="Aptos" w:hAnsi="Aptos"/>
      <w:color w:val="5B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