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b/>
          <w:color w:val="B45309"/>
          <w:sz w:val="24"/>
        </w:rPr>
        <w:t>CAPÍTULO 1</w:t>
      </w:r>
    </w:p>
    <w:p>
      <w:pPr>
        <w:spacing w:before="0" w:after="80"/>
      </w:pPr>
      <w:r>
        <w:rPr>
          <w:b/>
          <w:color w:val="9B2226"/>
          <w:sz w:val="40"/>
        </w:rPr>
        <w:t>Diagnóstico, Antecedentes y Línea Base del Botón Rojo Original (M0)</w:t>
      </w:r>
    </w:p>
    <w:p>
      <w:pPr>
        <w:spacing w:before="0" w:after="280"/>
      </w:pPr>
      <w:r>
        <w:rPr>
          <w:i/>
          <w:color w:val="1D3557"/>
          <w:sz w:val="23"/>
        </w:rPr>
        <w:t>Auditoría técnica del modelo histórico de CONAF/GEPRIF, limitaciones detectadas y justificación de la alta resolución.</w:t>
      </w:r>
    </w:p>
    <w:p>
      <w:pPr>
        <w:spacing w:after="240"/>
      </w:pPr>
      <w:r>
        <w:rPr>
          <w:color w:val="DCDCDC"/>
        </w:rPr>
        <w:t>_________________________________________________________________________________</w:t>
      </w:r>
    </w:p>
    <w:p>
      <w:pPr>
        <w:pStyle w:val="Heading1"/>
        <w:spacing w:before="280" w:after="80"/>
      </w:pPr>
      <w:r>
        <w:rPr>
          <w:b/>
          <w:color w:val="1D3557"/>
          <w:sz w:val="28"/>
        </w:rPr>
        <w:t>1.1. Contexto y Régimen de Incendios Forestales en Chile</w:t>
      </w:r>
    </w:p>
    <w:p>
      <w:r>
        <w:t>En la última década, Chile ha enfrentado un cambio cualitativo y cuantitativo en su régimen de incendios forestales. Eventos de escala catastrófica como la 'Tormenta de Fuego' de 2017 (con más de 500.000 ha consumidas), los Megaincendios de la zona centro-sur de febrero de 2023 (440.000 ha en Biobío, Ñuble y La Araucanía) y el devastador incendio periurbano de Viña del Mar y Quilpué en febrero de 2024 han dejado en evidencia la necesidad crítica de contar con sistemas predictivos de alerta temprana que combinen alta precisión meteorológica, resolución espacial subcomunal y modelos calibrados empíricamente.</w:t>
      </w:r>
    </w:p>
    <w:p>
      <w:pPr>
        <w:pStyle w:val="Heading1"/>
        <w:spacing w:before="280" w:after="80"/>
      </w:pPr>
      <w:r>
        <w:rPr>
          <w:b/>
          <w:color w:val="1D3557"/>
          <w:sz w:val="28"/>
        </w:rPr>
        <w:t>1.2. El Modelo Botón Rojo Histórico de CONAF (GEPRIF)</w:t>
      </w:r>
    </w:p>
    <w:p>
      <w:r>
        <w:t>El índice 'Botón Rojo' fue desarrollado e implementado operacionalmente por el Departamento de Desarrollo e Investigación de la Gerencia de Protección contra Incendios Forestales (GEPRIF) de la Corporación Nacional Forestal (CONAF). Su objetivo primordial ha sido la identificación de áreas territoriales donde convergen condiciones simultáneas de alta temperatura, baja humedad relativa, fuertes vientos y estrés hídrico de la vegetación, generando un ambiente altamente propicio para la ignición y propagación violenta de incendios forestales.</w:t>
      </w:r>
    </w:p>
    <w:p>
      <w:r>
        <w:t>Matemáticamente, el Botón Rojo original (denominado en esta investigación como Línea Base M0) se define como una regla booleana rígida de activación:</w:t>
      </w:r>
    </w:p>
    <w:tbl>
      <w:tblPr>
        <w:tblW w:type="auto" w:w="0"/>
        <w:jc w:val="center"/>
        <w:tblLook w:firstColumn="1" w:firstRow="1" w:lastColumn="0" w:lastRow="0" w:noHBand="0" w:noVBand="1" w:val="04A0"/>
      </w:tblPr>
      <w:tblGrid>
        <w:gridCol w:w="9360"/>
      </w:tblGrid>
      <w:tr>
        <w:tc>
          <w:tcPr>
            <w:tcW w:type="dxa" w:w="9360"/>
            <w:shd w:fill="F1FAEE"/>
          </w:tcPr>
          <w:p>
            <w:pPr>
              <w:spacing w:before="40" w:after="40"/>
            </w:pPr>
            <w:r>
              <w:rPr>
                <w:b/>
                <w:color w:val="1D3557"/>
                <w:sz w:val="21"/>
              </w:rPr>
              <w:t>📌 REGLA BOOLEANA DEL MODELO ORIGINAL CONAF (M0)</w:t>
              <w:br/>
            </w:r>
            <w:r>
              <w:rPr>
                <w:color w:val="212529"/>
                <w:sz w:val="20"/>
              </w:rPr>
              <w:t>Condición M0 = (Temperatura &gt;= 20.0 °C) ∧ (Humedad Relativa &lt;= 30.0 %) ∧ (Viento 10m &gt;= 20.0 km/h) ∧ (HCFM &lt;= 8.0 %) ∧ (Superficie Combustible = 1)</w:t>
            </w:r>
          </w:p>
        </w:tc>
      </w:tr>
    </w:tbl>
    <w:p/>
    <w:p>
      <w:pPr>
        <w:pStyle w:val="Heading1"/>
        <w:spacing w:before="280" w:after="80"/>
      </w:pPr>
      <w:r>
        <w:rPr>
          <w:b/>
          <w:color w:val="1D3557"/>
          <w:sz w:val="28"/>
        </w:rPr>
        <w:t>1.3. Diagnóstico Crítico y Limitaciones del Modelo Original</w:t>
      </w:r>
    </w:p>
    <w:p>
      <w:r>
        <w:t>A través de una auditoría exhaustiva sobre los 10 años de datos consolidados de CONAF (2014-2024, con más de 68.000 focos georreferenciados), se identificaron tres limitaciones estructurales del modelo M0:</w:t>
      </w:r>
    </w:p>
    <w:p>
      <w:pPr>
        <w:pStyle w:val="Heading2"/>
        <w:spacing w:before="200" w:after="60"/>
      </w:pPr>
      <w:r>
        <w:rPr>
          <w:b/>
          <w:color w:val="9B2226"/>
          <w:sz w:val="24"/>
        </w:rPr>
        <w:t>A. Efecto Acantilado (Discretización Rígida)</w:t>
      </w:r>
    </w:p>
    <w:p>
      <w:r>
        <w:t>Al operar como un producto lógico booleano (todo o nada), una celda con 40 °C de temperatura, 45 km/h de viento y 8.1% de HCFM es clasificada con 'Riesgo Cero' simplemente porque la humedad de combustible superó el umbral en 0.1%. En la realidad física, dicha condición representa un riesgo de ignición extremo. El M0 sufre de una tasa de falsos negativos del 34% en días de estrés térmico.</w:t>
      </w:r>
    </w:p>
    <w:p>
      <w:pPr>
        <w:pStyle w:val="Heading2"/>
        <w:spacing w:before="200" w:after="60"/>
      </w:pPr>
      <w:r>
        <w:rPr>
          <w:b/>
          <w:color w:val="9B2226"/>
          <w:sz w:val="24"/>
        </w:rPr>
        <w:t>B. Dilución Espacial en la Agregación Comunal</w:t>
      </w:r>
    </w:p>
    <w:p>
      <w:r>
        <w:t>El modelo original promediaba la condición de alerta sobre el polígono administrativo total de la comuna. En comunas con grandes áreas cordilleranas (nieve y roca) o estepas desérticas, el 100% de la superficie vegetal podía estar en Botón Rojo, pero al dividirse por el área comunal total, el promedio caía por debajo del 30%, ocultando la alerta ante las autoridades de emergencia (SENAPRED y Municipios).</w:t>
      </w:r>
    </w:p>
    <w:p>
      <w:pPr>
        <w:pStyle w:val="Heading2"/>
        <w:spacing w:before="200" w:after="60"/>
      </w:pPr>
      <w:r>
        <w:rPr>
          <w:b/>
          <w:color w:val="9B2226"/>
          <w:sz w:val="24"/>
        </w:rPr>
        <w:t>C. Baja Resolución Espacial e Incompatibilidad con la IUF</w:t>
      </w:r>
    </w:p>
    <w:p>
      <w:r>
        <w:t>El producto original se alimenta de la grilla sinóptica NOAA GFS de 0.25° (~25 km x 25 km), resultando incapaz de capturar corredores de viento locales, cañones térmicos, laderas de exposición norte/sur o el mosaico heterogéneo de la Interfaz Urbano-Forestal (IUF).</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C757D"/>
        <w:sz w:val="17"/>
      </w:rPr>
      <w:t>Documento Técnico y Científico — Versión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57D"/>
        <w:sz w:val="17"/>
      </w:rPr>
      <w:t>BR-HR 2026 — Metodología Botón Rojo de Alta Resolución | Capítulo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