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B45309"/>
          <w:sz w:val="24"/>
        </w:rPr>
        <w:t>CAPÍTULO 2</w:t>
      </w:r>
    </w:p>
    <w:p>
      <w:pPr>
        <w:spacing w:before="0" w:after="80"/>
      </w:pPr>
      <w:r>
        <w:rPr>
          <w:b/>
          <w:color w:val="9B2226"/>
          <w:sz w:val="40"/>
        </w:rPr>
        <w:t>Fundamentos Físico-Meteorológicos y Modelación Temporal</w:t>
      </w:r>
    </w:p>
    <w:p>
      <w:pPr>
        <w:spacing w:before="0" w:after="280"/>
      </w:pPr>
      <w:r>
        <w:rPr>
          <w:i/>
          <w:color w:val="1D3557"/>
          <w:sz w:val="23"/>
        </w:rPr>
        <w:t>La ventana horaria crítica de la tarde, equilibrio higroscópico del combustible fino y fuentes de datos climáticos.</w:t>
      </w:r>
    </w:p>
    <w:p>
      <w:pPr>
        <w:spacing w:after="240"/>
      </w:pPr>
      <w:r>
        <w:rPr>
          <w:color w:val="DCDCDC"/>
        </w:rPr>
        <w:t>_________________________________________________________________________________</w:t>
      </w:r>
    </w:p>
    <w:p>
      <w:pPr>
        <w:pStyle w:val="Heading1"/>
        <w:spacing w:before="280" w:after="80"/>
      </w:pPr>
      <w:r>
        <w:rPr>
          <w:b/>
          <w:color w:val="1D3557"/>
          <w:sz w:val="28"/>
        </w:rPr>
        <w:t>2.1. La Ventana Crítica de la Tarde (14:00 a 18:59 Horas Local)</w:t>
      </w:r>
    </w:p>
    <w:p>
      <w:r>
        <w:t>Uno de los principios metodológicos más importantes de la ciencia del fuego en Chile es que el índice Botón Rojo NO representa el promedio de las últimas 24 horas del día. Si se promediaran las 24 horas continuas, la alta humedad y baja temperatura de la madrugada diluirían el índice, subestimando drásticamente el peligro.</w:t>
      </w:r>
    </w:p>
    <w:p>
      <w:r>
        <w:t>El modelo evalúa específicamente la ventana de máximo estrés de fuego del ciclo diurno, correspondiente al intervalo entre las 14:00 y las 18:59 horas local (5 horas consecutivas de la tarde). Durante este periodo coinciden el máximo de temperatura ambiental por radiación solar acumulada, el mínimo de humedad relativa y el pico de velocidad de los vientos térmicos costero-valle.</w:t>
      </w:r>
    </w:p>
    <w:tbl>
      <w:tblPr>
        <w:tblW w:type="auto" w:w="0"/>
        <w:jc w:val="center"/>
        <w:tblLook w:firstColumn="1" w:firstRow="1" w:lastColumn="0" w:lastRow="0" w:noHBand="0" w:noVBand="1" w:val="04A0"/>
      </w:tblPr>
      <w:tblGrid>
        <w:gridCol w:w="9360"/>
      </w:tblGrid>
      <w:tr>
        <w:tc>
          <w:tcPr>
            <w:tcW w:type="dxa" w:w="9360"/>
            <w:shd w:fill="F1FAEE"/>
          </w:tcPr>
          <w:p>
            <w:pPr>
              <w:spacing w:before="40" w:after="40"/>
            </w:pPr>
            <w:r>
              <w:rPr>
                <w:b/>
                <w:color w:val="1D3557"/>
                <w:sz w:val="21"/>
              </w:rPr>
              <w:t>📌 HOMOLOGACIÓN HORARIA UTC / CHILE CONTINENTAL</w:t>
              <w:br/>
            </w:r>
            <w:r>
              <w:rPr>
                <w:color w:val="212529"/>
                <w:sz w:val="20"/>
              </w:rPr>
              <w:t>• Temporada de Incendios (Horario de Verano UTC-3): 17:00 a 22:00 UTC.</w:t>
              <w:br/>
              <w:t>• Horario Normal (Invierno UTC-4): 18:00 a 23:00 UTC.</w:t>
              <w:br/>
              <w:t>• Rutina Operativa: Pronóstico emitido en la mañana (08:00 AM) para predecir la tarde de ese mismo día.</w:t>
            </w:r>
          </w:p>
        </w:tc>
      </w:tr>
    </w:tbl>
    <w:p/>
    <w:p>
      <w:pPr>
        <w:pStyle w:val="Heading1"/>
        <w:spacing w:before="280" w:after="80"/>
      </w:pPr>
      <w:r>
        <w:rPr>
          <w:b/>
          <w:color w:val="1D3557"/>
          <w:sz w:val="28"/>
        </w:rPr>
        <w:t>2.2. Física y Modelación del Combustible Fino Muerto (HCFM)</w:t>
      </w:r>
    </w:p>
    <w:p>
      <w:r>
        <w:t>El Combustible Fino Muerto (pastizales secos, hojarasca, acículas de pino y ramas de diámetro inferior a 6 mm) posee un tiempo de retardo de 1 hora (1-hour timelag fuel), respondiendo de forma casi instantánea a las fluctuaciones de la atmósfera circundante. Para modelar su contenido de humedad de equilibrio (% en base a peso seco), se utilizan las ecuaciones físicas de Simard y Rothermel:</w:t>
      </w:r>
    </w:p>
    <w:tbl>
      <w:tblPr>
        <w:tblW w:type="auto" w:w="0"/>
        <w:jc w:val="center"/>
        <w:tblLook w:firstColumn="1" w:firstRow="1" w:lastColumn="0" w:lastRow="0" w:noHBand="0" w:noVBand="1" w:val="04A0"/>
      </w:tblPr>
      <w:tblGrid>
        <w:gridCol w:w="9360"/>
      </w:tblGrid>
      <w:tr>
        <w:tc>
          <w:tcPr>
            <w:tcW w:type="dxa" w:w="9360"/>
            <w:shd w:fill="F1FAEE"/>
          </w:tcPr>
          <w:p>
            <w:pPr>
              <w:spacing w:before="40" w:after="40"/>
            </w:pPr>
            <w:r>
              <w:rPr>
                <w:b/>
                <w:color w:val="1D3557"/>
                <w:sz w:val="21"/>
              </w:rPr>
              <w:t>📌 ECUACIÓN DE HUMEDAD DEL COMBUSTIBLE FINO MUERTO (CONAF / SIMARD)</w:t>
              <w:br/>
            </w:r>
            <w:r>
              <w:rPr>
                <w:color w:val="212529"/>
                <w:sz w:val="20"/>
              </w:rPr>
              <w:t>HCFM (%) = 0.297374 + (0.262 · HR) - (0.00982 · T)</w:t>
              <w:br/>
              <w:t>Donde:</w:t>
              <w:br/>
              <w:t xml:space="preserve">  HR = Humedad Relativa del Aire (%)</w:t>
              <w:br/>
              <w:t xml:space="preserve">  T  = Temperatura a 2 metros (°C)</w:t>
            </w:r>
          </w:p>
        </w:tc>
      </w:tr>
    </w:tbl>
    <w:p/>
    <w:p>
      <w:pPr>
        <w:pStyle w:val="Heading1"/>
        <w:spacing w:before="280" w:after="80"/>
      </w:pPr>
      <w:r>
        <w:rPr>
          <w:b/>
          <w:color w:val="1D3557"/>
          <w:sz w:val="28"/>
        </w:rPr>
        <w:t>2.3. Fuentes de Datos Meteorológicos: GFS vs ERA5-Land</w:t>
      </w:r>
    </w:p>
    <w:p>
      <w:r>
        <w:t>Para asegurar reproducibilidad científica absoluta, el sistema BR-HR desacopla claramente la operación en tiempo real de la validación histórica:</w:t>
      </w:r>
    </w:p>
    <w:p>
      <w:r>
        <w:t>1. Pronóstico Operativo (Tiempo Real): Utiliza la colección 'NOAA/GFS0P25' de Earth Engine, consultando la corrida matutina del día para predecir el comportamiento de la tarde (Día 0).</w:t>
        <w:br/>
        <w:t>2. Reanálisis Histórico y Calibración: Utiliza la colección 'ECMWF/ERA5_LAND/HOURLY' (resolución nativa de 9 km), muestreando exactamente la ventana 17:00 a 22:00 UTC para reconstruir con máxima precisión física los eventos pasados.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7"/>
      </w:rPr>
      <w:t>Documento Técnico y Científico — Versión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57D"/>
        <w:sz w:val="17"/>
      </w:rPr>
      <w:t>BR-HR 2026 — Metodología Botón Rojo de Alta Resolución | Capítulo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