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b/>
          <w:color w:val="B45309"/>
          <w:sz w:val="24"/>
        </w:rPr>
        <w:t>CAPÍTULO 3</w:t>
      </w:r>
    </w:p>
    <w:p>
      <w:pPr>
        <w:spacing w:before="0" w:after="80"/>
      </w:pPr>
      <w:r>
        <w:rPr>
          <w:b/>
          <w:color w:val="9B2226"/>
          <w:sz w:val="40"/>
        </w:rPr>
        <w:t>Metodología Científica del Modelo BR-HR (M1 y M2)</w:t>
      </w:r>
    </w:p>
    <w:p>
      <w:pPr>
        <w:spacing w:before="0" w:after="280"/>
      </w:pPr>
      <w:r>
        <w:rPr>
          <w:i/>
          <w:color w:val="1D3557"/>
          <w:sz w:val="23"/>
        </w:rPr>
        <w:t>Formulación de la Probabilidad de Ignición Continua, matriz de alertas multinivel y calibración probabilística.</w:t>
      </w:r>
    </w:p>
    <w:p>
      <w:pPr>
        <w:spacing w:after="240"/>
      </w:pPr>
      <w:r>
        <w:rPr>
          <w:color w:val="DCDCDC"/>
        </w:rPr>
        <w:t>_________________________________________________________________________________</w:t>
      </w:r>
    </w:p>
    <w:p>
      <w:pPr>
        <w:pStyle w:val="Heading1"/>
        <w:spacing w:before="280" w:after="80"/>
      </w:pPr>
      <w:r>
        <w:rPr>
          <w:b/>
          <w:color w:val="1D3557"/>
          <w:sz w:val="28"/>
        </w:rPr>
        <w:t>3.1. Probabilidad de Ignición Continua (PI)</w:t>
      </w:r>
    </w:p>
    <w:p>
      <w:r>
        <w:t>Para superar la rigidez del modelo booleano original, BR-HR introduce una función matemática multivariada continua de Probabilidad de Ignición (PI), calibrada empíricamente contra la serie histórica de focos de CONAF (2014-2024):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AEE"/>
          </w:tcPr>
          <w:p>
            <w:pPr>
              <w:spacing w:before="40" w:after="40"/>
            </w:pPr>
            <w:r>
              <w:rPr>
                <w:b/>
                <w:color w:val="1D3557"/>
                <w:sz w:val="21"/>
              </w:rPr>
              <w:t>📌 FUNCIÓN CONTINUA DE PROBABILIDAD DE IGNICIÓN (BR-HR M1)</w:t>
              <w:br/>
            </w:r>
            <w:r>
              <w:rPr>
                <w:color w:val="212529"/>
                <w:sz w:val="20"/>
              </w:rPr>
              <w:t>PI = Clamp[ (1.2 · T) + 0.6 · (100 - HR) + (0.8 · Viento_kmh) - (2.5 · HCFM), 0, 100 ]</w:t>
              <w:br/>
              <w:t>Donde:</w:t>
              <w:br/>
              <w:t xml:space="preserve">  T = Temperatura (°C)</w:t>
              <w:br/>
              <w:t xml:space="preserve">  HR = Humedad Relativa (%)</w:t>
              <w:br/>
              <w:t xml:space="preserve">  Viento_kmh = Velocidad del viento a 10m (km/h)</w:t>
              <w:br/>
              <w:t xml:space="preserve">  HCFM = Humedad de combustible fino muerto (%)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1D3557"/>
          <w:sz w:val="28"/>
        </w:rPr>
        <w:t>3.2. Estructura de Alertas Multinivel</w:t>
      </w:r>
    </w:p>
    <w:p>
      <w:r>
        <w:t>A diferencia del enfoque binario original (Rojo o Nada), BR-HR establece una jerarquía de tres niveles de alerta para la gestión anticipada del riesgo:</w:t>
      </w:r>
    </w:p>
    <w:p>
      <w:r>
        <w:t>🔴 ALERTA ROJA (Botón Rojo Calibrado M1):</w:t>
        <w:br/>
        <w:t xml:space="preserve">   Condición: PI &gt;= 60.0 %  ∧  HCFM &lt;= 10.0 %  ∧  Superficie Combustible = 1</w:t>
        <w:br/>
        <w:t xml:space="preserve">   Significado: Riesgo crítico de ignición inmediata y propagación de alta intensidad con generación de focos secundarios (pavesas).</w:t>
        <w:br/>
        <w:br/>
        <w:t>🟡 ALERTA AMARILLA PREVENTIVA:</w:t>
        <w:br/>
        <w:t xml:space="preserve">   Condición: 40.0 % &lt;= PI &lt; 60.0 %  ∧  Superficie Combustible = 1</w:t>
        <w:br/>
        <w:t xml:space="preserve">   Significado: Precalentamiento severo del territorio. Condiciones favorables para incendios medianos o rápida transición a botón rojo si el viento arrecia.</w:t>
        <w:br/>
        <w:br/>
        <w:t>🟡 ALERTA TEMPRANA PREVENTIVA (Combinada):</w:t>
        <w:br/>
        <w:t xml:space="preserve">   Condición: Superficie total en riesgo (Rojo + Amarillo) &gt;= 30.0 % dentro de la unidad de análisis.</w:t>
        <w:br/>
        <w:br/>
        <w:t>⚪ CONDICIÓN NORMAL:</w:t>
        <w:br/>
        <w:t xml:space="preserve">   Condición: PI &lt; 40.0 % o ausencia de cobertura vegetal combustible.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7"/>
      </w:rPr>
      <w:t>Documento Técnico y Científico — Versión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C757D"/>
        <w:sz w:val="17"/>
      </w:rPr>
      <w:t>BR-HR 2026 — Metodología Botón Rojo de Alta Resolución | Capítulo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