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4</w:t>
      </w:r>
    </w:p>
    <w:p>
      <w:pPr>
        <w:spacing w:before="0" w:after="80"/>
      </w:pPr>
      <w:r>
        <w:rPr>
          <w:b/>
          <w:color w:val="9B2226"/>
          <w:sz w:val="40"/>
        </w:rPr>
        <w:t>Discretización Espacial: Malla Hexagonal Uber H3 y Combustibles</w:t>
      </w:r>
    </w:p>
    <w:p>
      <w:pPr>
        <w:spacing w:before="0" w:after="280"/>
      </w:pPr>
      <w:r>
        <w:rPr>
          <w:i/>
          <w:color w:val="1D3557"/>
          <w:sz w:val="23"/>
        </w:rPr>
        <w:t>Arquitectura de discretización territorial, isotropía hexagonal y máscara satelital de combustibles reales.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4.1. Ventajas de la Malla Hexagonal Uber H3</w:t>
      </w:r>
    </w:p>
    <w:p>
      <w:r>
        <w:t>La discretización espacial en BR-HR se fundamenta en el sistema de indexación espacial discreta Uber H3. A diferencia de las cuadrículas cartesianas tradicionales (raster regular o malla cuadrada), los hexágonos ofrecen propiedades geométricas ideales para modelar incendios:</w:t>
      </w:r>
    </w:p>
    <w:p>
      <w:r>
        <w:t>• Isotropía Espacial: La distancia entre el centroide de un hexágono y sus 6 vecinos es exactamente idéntica. En cuadrículas cuadradas, los vecinos diagonales están a una distancia √2 veces mayor.</w:t>
        <w:br/>
        <w:t>• Sin Sesgo Direccional: El fuego se propaga de manera radial u elíptica; los hexágonos modelan los frentes de llama sin distorsión de esquinas.</w:t>
        <w:br/>
        <w:t>• Jerarquía Multiescala Anidada: Permite agregar y desagregar información entre resolución 8 (~45 ha) y resolución 7 (~300 ha) con mínima pérdida de coherencia topológica.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4.2. Niveles de Resolución Operacionales</w:t>
      </w:r>
    </w:p>
    <w:p>
      <w:r>
        <w:t>• H3 Resolución 8 (Área media: 45.3 ha / Radio: ~461 m): Unidad base de modelación microclimática y análisis en quebradas e interfaz urbano-forestal. Total nacional: 33.237 hexágonos indexados sobre cobertura vegetal.</w:t>
        <w:br/>
        <w:t>• H3 Resolución 7 (Área media: 317.0 ha / Radio: ~1.22 km): Unidad de agregación vectorial y clusters operativos para el renderizado web interactivo de alto rendimiento.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4.3. Máscara Satelital de Cobertura de Combustibles</w:t>
      </w:r>
    </w:p>
    <w:p>
      <w:r>
        <w:t>No todo el territorio nacional es susceptible de arder. Para evitar alertas absurdas en campos de hielo, roqueríos de alta montaña o desiertos salinos, se implementó una máscara estricta combinando ESA WorldCover 10m y Google Dynamic World: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AEE"/>
          </w:tcPr>
          <w:p>
            <w:pPr>
              <w:spacing w:before="40" w:after="40"/>
            </w:pPr>
            <w:r>
              <w:rPr>
                <w:b/>
                <w:color w:val="1D3557"/>
                <w:sz w:val="21"/>
              </w:rPr>
              <w:t>📌 MÁSCARA OFICIAL DE COMBUSTIBLES ESA WORLDCOVER</w:t>
              <w:br/>
            </w:r>
            <w:r>
              <w:rPr>
                <w:color w:val="212529"/>
                <w:sz w:val="20"/>
              </w:rPr>
              <w:t>Clases Válidas de Combustible:</w:t>
              <w:br/>
              <w:t xml:space="preserve">  • Clase 10: Árboles y bosques nativos/plantaciones forestales.</w:t>
              <w:br/>
              <w:t xml:space="preserve">  • Clase 20: Matorrales y arbustos esclerófilos.</w:t>
              <w:br/>
              <w:t xml:space="preserve">  • Clase 30: Pastizales y praderas naturales.</w:t>
              <w:br/>
              <w:t xml:space="preserve">  • Clase 40: Cultivos agrícolas y rastrojos secos.</w:t>
              <w:br/>
              <w:t xml:space="preserve">  • Clase 90: Humedales y vegetación riparia seca en verano.</w:t>
              <w:br/>
              <w:t>Excluidos: Cuerpos de agua, nieves perpetuas, rocas desnudas y zonas urbanas densas pavimentadas.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