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B45309"/>
          <w:sz w:val="24"/>
        </w:rPr>
        <w:t>CAPÍTULO 5</w:t>
      </w:r>
    </w:p>
    <w:p>
      <w:pPr>
        <w:spacing w:before="0" w:after="80"/>
      </w:pPr>
      <w:r>
        <w:rPr>
          <w:b/>
          <w:color w:val="9B2226"/>
          <w:sz w:val="40"/>
        </w:rPr>
        <w:t>Algoritmo de Agregación Zonal Comunal Congruente</w:t>
      </w:r>
    </w:p>
    <w:p>
      <w:pPr>
        <w:spacing w:before="0" w:after="280"/>
      </w:pPr>
      <w:r>
        <w:rPr>
          <w:i/>
          <w:color w:val="1D3557"/>
          <w:sz w:val="23"/>
        </w:rPr>
        <w:t>Resolución matemática de la dilución espacial, reducción zonal ponderada y reglas institucionales de decisión.</w:t>
      </w:r>
    </w:p>
    <w:p>
      <w:pPr>
        <w:spacing w:after="240"/>
      </w:pPr>
      <w:r>
        <w:rPr>
          <w:color w:val="DCDCDC"/>
        </w:rPr>
        <w:t>_________________________________________________________________________________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5.1. El Problema Matemático de la Dilución Zonal</w:t>
      </w:r>
    </w:p>
    <w:p>
      <w:r>
        <w:t>Uno de los hallazgos técnicos más críticos durante el desarrollo de BR-HR fue descubrir por qué comunas con incendios devastadores no figuraban en alerta roja en los reportes comunales tradicionales. La causa radicaba en la formulación clásica de la reducción zonal:</w:t>
      </w:r>
    </w:p>
    <w:p>
      <w:r>
        <w:t>En la reducción zonal convencional, se dividía el número de píxeles en alerta roja por la superficie total de la comuna (incluyendo roca, nieve y desierto). Por ejemplo, en comunas cordilleranas como San José de Maipo, Panguipulli o Lonquimay, el 70% de la comuna es roca o nieve estéril. Si el 100% de los bosques del valle entraban en Botón Rojo (30% de la comuna), la división daba 30/100 = 30%, quedando al límite o cayendo a amarillo/normal.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5.2. Nueva Formulación Basada en Superficie Combustible Real</w:t>
      </w:r>
    </w:p>
    <w:p>
      <w:r>
        <w:t>BR-HR implementa la reducción zonal estricta condicionada a la máscara de combustible: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AEE"/>
          </w:tcPr>
          <w:p>
            <w:pPr>
              <w:spacing w:before="40" w:after="40"/>
            </w:pPr>
            <w:r>
              <w:rPr>
                <w:b/>
                <w:color w:val="1D3557"/>
                <w:sz w:val="21"/>
              </w:rPr>
              <w:t>📌 ECUACIONES DE REDUCCIÓN ZONAL BR-HR</w:t>
              <w:br/>
            </w:r>
            <w:r>
              <w:rPr>
                <w:color w:val="212529"/>
                <w:sz w:val="20"/>
              </w:rPr>
              <w:t>pct_superficie_roja = ( Área de Píxeles Rojos ∩ Combustible / Área Total de Combustible Comunal ) · 100</w:t>
              <w:br/>
              <w:t>pct_superficie_amarilla = ( Área de Píxeles Amarillos ∩ Combustible / Área Total de Combustible Comunal ) · 100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D3557"/>
          <w:sz w:val="28"/>
        </w:rPr>
        <w:t>5.3. Reglas de Decisión Institucional CONAF / SENAPRED</w:t>
      </w:r>
    </w:p>
    <w:p>
      <w:r>
        <w:t>Para clasificar las 346 comunas de Chile de forma unívoca y 100% congruente con el mapa ráster de píxeles, se aplican las siguientes reglas:</w:t>
      </w:r>
    </w:p>
    <w:p>
      <w:r>
        <w:t>1. 🔴 ALERTA ROJA COMUNAL: pct_superficie_roja &gt;= 30.0 %</w:t>
        <w:br/>
        <w:t>2. 🟡 ALERTA AMARILLA COMUNAL: pct_superficie_roja &lt; 30.0 %  ∧  (pct_superficie_amarilla &gt;= 25.0 %  ∨  pct_superficie_roja &gt;= 10.0 %  ∨  (pct_rojo + pct_amarillo) &gt;= 30.0 %)</w:t>
        <w:br/>
        <w:t>3. 🟡 ALERTA TEMPRANA PREVENTIVA: (pct_superficie_roja + pct_superficie_amarilla) &gt;= 10.0 %</w:t>
        <w:br/>
        <w:t>4. ⚪ CONDICIÓN NORMAL: Menos del 10% de la superficie combustible en condición de riesgo.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7"/>
      </w:rPr>
      <w:t>Documento Técnico y Científico — Versión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7"/>
      </w:rPr>
      <w:t>BR-HR 2026 — Metodología Botón Rojo de Alta Resolución | Capítulo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