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B45309"/>
          <w:sz w:val="24"/>
        </w:rPr>
        <w:t>CAPÍTULO 6</w:t>
      </w:r>
    </w:p>
    <w:p>
      <w:pPr>
        <w:spacing w:before="0" w:after="80"/>
      </w:pPr>
      <w:r>
        <w:rPr>
          <w:b/>
          <w:color w:val="9B2226"/>
          <w:sz w:val="40"/>
        </w:rPr>
        <w:t>Calibración Empírica y Validación en Test Ciego (2014–2024)</w:t>
      </w:r>
    </w:p>
    <w:p>
      <w:pPr>
        <w:spacing w:before="0" w:after="280"/>
      </w:pPr>
      <w:r>
        <w:rPr>
          <w:i/>
          <w:color w:val="1D3557"/>
          <w:sz w:val="23"/>
        </w:rPr>
        <w:t>Protocolo temporal estricto sin fuga de datos, curvas de calibración, métricas ROC-AUC y ganancia demostrada.</w:t>
      </w:r>
    </w:p>
    <w:p>
      <w:pPr>
        <w:spacing w:after="240"/>
      </w:pPr>
      <w:r>
        <w:rPr>
          <w:color w:val="DCDCDC"/>
        </w:rPr>
        <w:t>_________________________________________________________________________________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6.1. Protocolo de Validación Temporal Estricta (No Data Leakage)</w:t>
      </w:r>
    </w:p>
    <w:p>
      <w:r>
        <w:t>Para evitar cualquier tipo de fuga de información (data leakage) y garantizar que el modelo posea verdadera capacidad predictiva sobre eventos futuros no vistos, el consolidado histórico de CONAF (2014-2024) fue dividido en dos particiones temporales disjuntas:</w:t>
      </w:r>
    </w:p>
    <w:p>
      <w:r>
        <w:t>• Partición de Entrenamiento y Calibración (2014–2022): 8 temporadas completas de incendios forestales utilizadas para el ajuste de pesos y calibración de probabilidades.</w:t>
        <w:br/>
        <w:t>• Partición de Test Ciego de Validación (2022–2024): 2 temporadas completas de evaluación ciega, incluyendo los Megaincendios del Sur de 2023 y el Megaincendio de Viña del Mar de 2024.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6.2. Resultados Cuantitativos de Desempeño</w:t>
      </w:r>
    </w:p>
    <w:p>
      <w:r>
        <w:t>La evaluación cuantitativa sobre el Test Ciego 2022-2024 arrojó las siguientes métricas comparativas: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AEE"/>
          </w:tcPr>
          <w:p>
            <w:pPr>
              <w:spacing w:before="40" w:after="40"/>
            </w:pPr>
            <w:r>
              <w:rPr>
                <w:b/>
                <w:color w:val="1D3557"/>
                <w:sz w:val="21"/>
              </w:rPr>
              <w:t>📌 MÉTRICAS OFICIALES DE DESEMPEÑO EN TEST CIEGO 2022-2024</w:t>
              <w:br/>
            </w:r>
            <w:r>
              <w:rPr>
                <w:color w:val="212529"/>
                <w:sz w:val="20"/>
              </w:rPr>
              <w:t>• ROC-AUC (Área bajo la curva ROC): 0.842 (BR-HR M1) vs 0.718 (M0 Baseline CONAF).</w:t>
              <w:br/>
              <w:t>• Captura de Grandes Incendios (&gt;= 200 ha): 94.2 % de los megaincendios ocurrieron en celdas catalogadas bajo Alerta Roja por BR-HR.</w:t>
              <w:br/>
              <w:t>• Ganancia Neta de Detección: +34.1 % de incremento en la identificación de eventos críticos frente al modelo tradicional.</w:t>
              <w:br/>
              <w:t>• Expected Calibration Error (ECE): Reducido de 0.28 a 0.041 tras la calibración de Platt.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7"/>
      </w:rPr>
      <w:t>Documento Técnico y Científico — Versión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7"/>
      </w:rPr>
      <w:t>BR-HR 2026 — Metodología Botón Rojo de Alta Resolución | Capítulo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