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b/>
          <w:color w:val="B45309"/>
          <w:sz w:val="24"/>
        </w:rPr>
        <w:t>CAPÍTULO 7</w:t>
      </w:r>
    </w:p>
    <w:p>
      <w:pPr>
        <w:spacing w:before="0" w:after="80"/>
      </w:pPr>
      <w:r>
        <w:rPr>
          <w:b/>
          <w:color w:val="9B2226"/>
          <w:sz w:val="40"/>
        </w:rPr>
        <w:t>Telemetría Satelital en Tiempo Real (NASA FIRMS &amp; CONAF)</w:t>
      </w:r>
    </w:p>
    <w:p>
      <w:pPr>
        <w:spacing w:before="0" w:after="280"/>
      </w:pPr>
      <w:r>
        <w:rPr>
          <w:i/>
          <w:color w:val="1D3557"/>
          <w:sz w:val="23"/>
        </w:rPr>
        <w:t>Integración de sensores VIIRS 375m, filtro de soberanía territorial y mapas de calor KDE.</w:t>
      </w:r>
    </w:p>
    <w:p>
      <w:pPr>
        <w:spacing w:after="240"/>
      </w:pPr>
      <w:r>
        <w:rPr>
          <w:color w:val="DCDCDC"/>
        </w:rPr>
        <w:t>_________________________________________________________________________________</w:t>
      </w:r>
    </w:p>
    <w:p>
      <w:pPr>
        <w:pStyle w:val="Heading1"/>
        <w:spacing w:before="280" w:after="80"/>
      </w:pPr>
      <w:r>
        <w:rPr>
          <w:b/>
          <w:color w:val="1D3557"/>
          <w:sz w:val="28"/>
        </w:rPr>
        <w:t>7.1. Sensores Satelitales Térmicos (NASA FIRMS)</w:t>
      </w:r>
    </w:p>
    <w:p>
      <w:r>
        <w:t>El sistema integra en tiempo real las detecciones de anomalías térmicas activas provenientes de los sensores VIIRS (Visible Infrared Imaging Radiometer Suite) a bordo de los satélites Suomi-NPP y NOAA-20 (resolución espacial de 375 metros en el canal térmico I4), complementados con MODIS (satélites Terra y Aqua, 1 km).</w:t>
      </w:r>
    </w:p>
    <w:p>
      <w:pPr>
        <w:pStyle w:val="Heading1"/>
        <w:spacing w:before="280" w:after="80"/>
      </w:pPr>
      <w:r>
        <w:rPr>
          <w:b/>
          <w:color w:val="1D3557"/>
          <w:sz w:val="28"/>
        </w:rPr>
        <w:t>7.2. Algoritmo de Filtro Vectorial de Soberanía Nacional</w:t>
      </w:r>
    </w:p>
    <w:p>
      <w:r>
        <w:t>Las APIs satelitales globales devuelven anomalías dentro de un cuadro delimitador (bounding box) rectangular que incluye sectores de Argentina, Bolivia y el Océano Pacífico. Para garantizar estricta soberanía territorial chilena, se implementó un motor de filtrado espacial utilizando polígonos preparados (Shapely prepared geometries) sobre el límite territorial oficial IGM/SUBDERE, descartando el 100% de las anomalías foráneas antes de alimentar el frontend.</w:t>
      </w:r>
    </w:p>
    <w:p>
      <w:pPr>
        <w:pStyle w:val="Heading1"/>
        <w:spacing w:before="280" w:after="80"/>
      </w:pPr>
      <w:r>
        <w:rPr>
          <w:b/>
          <w:color w:val="1D3557"/>
          <w:sz w:val="28"/>
        </w:rPr>
        <w:t>7.3. Densidad de Kernel (KDE) y Mapas de Calor</w:t>
      </w:r>
    </w:p>
    <w:p>
      <w:r>
        <w:t>Tanto en Earth Engine como en el visor web se integran capas continuas de Densidad de Kernel Gaussiana (KDE) con radio de búsqueda de 30 km, permitiendo visualizar instantáneamente la concentración espacial y el avance de los frentes de fuego activos.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57D"/>
        <w:sz w:val="17"/>
      </w:rPr>
      <w:t>Documento Técnico y Científico — Versión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C757D"/>
        <w:sz w:val="17"/>
      </w:rPr>
      <w:t>BR-HR 2026 — Metodología Botón Rojo de Alta Resolución | Capítulo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