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B45309"/>
          <w:sz w:val="24"/>
        </w:rPr>
        <w:t>CAPÍTULO 8</w:t>
      </w:r>
    </w:p>
    <w:p>
      <w:pPr>
        <w:spacing w:before="0" w:after="80"/>
      </w:pPr>
      <w:r>
        <w:rPr>
          <w:b/>
          <w:color w:val="9B2226"/>
          <w:sz w:val="40"/>
        </w:rPr>
        <w:t>Arquitectura Cloud, Frontend GeoLibre y Automatización</w:t>
      </w:r>
    </w:p>
    <w:p>
      <w:pPr>
        <w:spacing w:before="0" w:after="280"/>
      </w:pPr>
      <w:r>
        <w:rPr>
          <w:i/>
          <w:color w:val="1D3557"/>
          <w:sz w:val="23"/>
        </w:rPr>
        <w:t>Infraestructura serverless, mapas vectoriales MapLibre GL JS y cron diario de costo cero.</w:t>
      </w:r>
    </w:p>
    <w:p>
      <w:pPr>
        <w:spacing w:after="240"/>
      </w:pPr>
      <w:r>
        <w:rPr>
          <w:color w:val="DCDCDC"/>
        </w:rPr>
        <w:t>_________________________________________________________________________________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8.1. Arquitectura Tecnológica General</w:t>
      </w:r>
    </w:p>
    <w:p>
      <w:r>
        <w:t>La arquitectura de BR-HR fue diseñada bajo los principios de máxima soberanía tecnológica, uso de software libre y costo operativo cero ($0 USD/mes):</w:t>
      </w:r>
    </w:p>
    <w:p>
      <w:r>
        <w:t>• Motor Geoespacial: Google Earth Engine API (procesamiento distribuido en la nube de Google).</w:t>
        <w:br/>
        <w:t>• Almacenamiento y CDN: GitHub Pages + GitHub Actions (servidor estático global con caché distribuido).</w:t>
        <w:br/>
        <w:t>• Frontend Cartográfico: MapLibre GL JS (WebGL / Canvas vectorial de alta velocidad).</w:t>
        <w:br/>
        <w:t>• Automatización Diaria: Cron de GitHub Actions programado a las 08:00 AM hora de Chile.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8.2. Rendimiento y Seguridad</w:t>
      </w:r>
    </w:p>
    <w:p>
      <w:r>
        <w:t>El volumen total de datos vectoriales optimizados para todo el país es inferior a 25 MB, permitiendo que el mapa cargue en menos de 1.5 segundos en dispositivos móviles y computadores de escritorio, sin requerir bases de datos PostGIS pesadas ni servidores dedicados.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Documento Técnico y Científico — Versión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BR-HR 2026 — Metodología Botón Rojo de Alta Resolución | Capítulo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