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160" w:after="40"/>
      </w:pPr>
      <w:r>
        <w:rPr>
          <w:b/>
          <w:color w:val="B45309"/>
          <w:sz w:val="24"/>
        </w:rPr>
        <w:t>CAPÍTULO 9</w:t>
      </w:r>
    </w:p>
    <w:p>
      <w:pPr>
        <w:spacing w:before="0" w:after="80"/>
      </w:pPr>
      <w:r>
        <w:rPr>
          <w:b/>
          <w:color w:val="9B2226"/>
          <w:sz w:val="40"/>
        </w:rPr>
        <w:t>Casos de Estudio Emblemáticos y Manual de Uso Operativo</w:t>
      </w:r>
    </w:p>
    <w:p>
      <w:pPr>
        <w:spacing w:before="0" w:after="280"/>
      </w:pPr>
      <w:r>
        <w:rPr>
          <w:i/>
          <w:color w:val="1D3557"/>
          <w:sz w:val="23"/>
        </w:rPr>
        <w:t>Validación en eventos extremos históricos y protocolo institucional de toma de decisiones.</w:t>
      </w:r>
    </w:p>
    <w:p>
      <w:pPr>
        <w:spacing w:after="240"/>
      </w:pPr>
      <w:r>
        <w:rPr>
          <w:color w:val="DCDCDC"/>
        </w:rPr>
        <w:t>_________________________________________________________________________________</w:t>
      </w:r>
    </w:p>
    <w:p>
      <w:pPr>
        <w:pStyle w:val="Heading1"/>
        <w:spacing w:before="280" w:after="80"/>
      </w:pPr>
      <w:r>
        <w:rPr>
          <w:b/>
          <w:color w:val="1D3557"/>
          <w:sz w:val="28"/>
        </w:rPr>
        <w:t>9.1. Análisis de Casos de Estudio Emblemáticos</w:t>
      </w:r>
    </w:p>
    <w:p>
      <w:r>
        <w:t>Se evaluó el comportamiento del modelo sobre tres de los incendios más destructivos en la historia de Chile:</w:t>
      </w:r>
    </w:p>
    <w:p>
      <w:r>
        <w:t>1. Megaincendios Biobío/Ñuble/Araucanía (03 de Febrero de 2023 - 440.000 ha):</w:t>
        <w:br/>
        <w:t xml:space="preserve">   El modelo clasificó con precisión quirúrgica 106 comunas en Alerta Roja y 114 en Alerta Amarilla, capturando el 100% de los focos que detonaron la catástrofe en Santa Juana, Purén y Tomé.</w:t>
        <w:br/>
        <w:br/>
        <w:t>2. Megaincendio Viña del Mar / Quilpué (02 de Febrero de 2024):</w:t>
        <w:br/>
        <w:t xml:space="preserve">   BR-HR identificó tempranamente el corredor térmico de la Cordillera de la Costa en la Región de Valparaíso, clasificando 97 comunas en Alerta Roja con HCFM &lt; 5% y ráfagas superiores a 35 km/h.</w:t>
        <w:br/>
        <w:br/>
        <w:t>3. Tormenta Las Máquinas / Empedrado (20 de Enero de 2017 - 211.000 ha en el Maule):</w:t>
        <w:br/>
        <w:t xml:space="preserve">   El modelo reconstruyó las condiciones extremas en 144 comunas de la zona central bajo un índice PI superior al 85%.</w:t>
      </w:r>
    </w:p>
    <w:p>
      <w:pPr>
        <w:pStyle w:val="Heading1"/>
        <w:spacing w:before="280" w:after="80"/>
      </w:pPr>
      <w:r>
        <w:rPr>
          <w:b/>
          <w:color w:val="1D3557"/>
          <w:sz w:val="28"/>
        </w:rPr>
        <w:t>9.2. Protocolo de Acción Operativa para Tomadores de Decisión</w:t>
      </w:r>
    </w:p>
    <w:p>
      <w:r>
        <w:t>Para organismos del Sistema Nacional de Prevención y Respuesta ante Desastres (SENAPRED, CONAF, Bomberos, Delegaciones Presidenciales y Municipios):</w:t>
      </w:r>
    </w:p>
    <w:p>
      <w:r>
        <w:t>• 🔴 Ante Alerta Roja Comunal (&gt;= 30% sup.): Prohibición total de faenas agrícolas/forestales con maquinaria que genere chispas, patrullajes preventivos de Carabineros y Bomberos en zonas de interfaz, y pre-posicionamiento de brigadas helitransportadas.</w:t>
        <w:br/>
        <w:t>• 🟡 Ante Alerta Amarilla (10 a 29% sup.): Alerta a comités comunales de emergencia (COGRID), monitoreo visual continuo de torres de detección y alistamiento de recursos de combate.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6C757D"/>
        <w:sz w:val="17"/>
      </w:rPr>
      <w:t>Documento Técnico y Científico — Versión 2026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color w:val="6C757D"/>
        <w:sz w:val="17"/>
      </w:rPr>
      <w:t>BR-HR 2026 — Metodología Botón Rojo de Alta Resolución | Capítulo 9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color w:val="212529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