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0A3535"/>
          <w:sz w:val="56"/>
          <w:szCs w:val="56"/>
        </w:rPr>
        <w:t xml:space="preserve">Outcome Testing</w:t>
      </w:r>
    </w:p>
    <w:p>
      <w:pPr>
        <w:pBdr>
          <w:bottom w:val="single" w:color="2B5257" w:sz="12" w:space="8"/>
        </w:pBdr>
        <w:spacing w:after="400"/>
      </w:pPr>
      <w:r>
        <w:rPr>
          <w:rFonts w:ascii="Calibri" w:cs="Calibri" w:eastAsia="Calibri" w:hAnsi="Calibri"/>
          <w:color w:val="2B5257"/>
          <w:sz w:val="28"/>
          <w:szCs w:val="28"/>
        </w:rPr>
        <w:t xml:space="preserve">Solution Guide</w:t>
      </w:r>
    </w:p>
    <w:p>
      <w:pPr>
        <w:spacing w:after="60"/>
      </w:pPr>
      <w:r>
        <w:rPr>
          <w:rFonts w:ascii="Calibri" w:cs="Calibri" w:eastAsia="Calibri" w:hAnsi="Calibri"/>
          <w:color w:val="4F6B6B"/>
          <w:sz w:val="21"/>
          <w:szCs w:val="21"/>
        </w:rPr>
        <w:t xml:space="preserve">Ascot Lloyd · known as OTIS in production</w:t>
      </w:r>
    </w:p>
    <w:p>
      <w:pPr>
        <w:spacing w:after="60"/>
      </w:pPr>
      <w:r>
        <w:rPr>
          <w:rFonts w:ascii="Calibri" w:cs="Calibri" w:eastAsia="Calibri" w:hAnsi="Calibri"/>
          <w:color w:val="4F6B6B"/>
          <w:sz w:val="21"/>
          <w:szCs w:val="21"/>
        </w:rPr>
        <w:t xml:space="preserve">As of 2 October 2026</w:t>
      </w:r>
    </w:p>
    <w:p>
      <w:pPr>
        <w:spacing w:after="60"/>
      </w:pPr>
      <w:r>
        <w:rPr>
          <w:rFonts w:ascii="Calibri" w:cs="Calibri" w:eastAsia="Calibri" w:hAnsi="Calibri"/>
          <w:color w:val="4F6B6B"/>
          <w:sz w:val="21"/>
          <w:szCs w:val="21"/>
        </w:rPr>
        <w:t xml:space="preserve">Author: Simunye Radingwana</w:t>
      </w:r>
    </w:p>
    <w:p>
      <w:r>
        <w:br w:type="page"/>
      </w:r>
    </w:p>
    <w:p>
      <w:pPr>
        <w:pStyle w:val="Heading1"/>
      </w:pPr>
      <w:r>
        <w:t xml:space="preserve">What the solution is</w:t>
      </w:r>
    </w:p>
    <w:p>
      <w:pPr>
        <w:spacing w:after="120"/>
      </w:pPr>
      <w:r>
        <w:t xml:space="preserve">Outcome Testing (called </w:t>
      </w:r>
      <w:r>
        <w:rPr>
          <w:b/>
          <w:bCs/>
        </w:rPr>
        <w:t xml:space="preserve">OTIS</w:t>
      </w:r>
      <w:r>
        <w:t xml:space="preserve"> in production) is how Ascot Lloyd proves that the advice its advisers give is suitable. A sample of each adviser's client files is checked against a fixed checklist, graded, and, where a file fails, sent back to the adviser to fix, with every step recorded.</w:t>
      </w:r>
    </w:p>
    <w:p>
      <w:pPr>
        <w:spacing w:after="120"/>
      </w:pPr>
      <w:r>
        <w:t xml:space="preserve">Before OTIS, this ran on Word documents, Excel trackers and email. That meant:</w:t>
      </w:r>
    </w:p>
    <w:p>
      <w:pPr>
        <w:pStyle w:val="ListParagraph"/>
        <w:numPr>
          <w:ilvl w:val="0"/>
          <w:numId w:val="2"/>
        </w:numPr>
        <w:spacing w:after="60"/>
      </w:pPr>
      <w:r>
        <w:t xml:space="preserve">nobody could easily see who was checking which file;</w:t>
      </w:r>
    </w:p>
    <w:p>
      <w:pPr>
        <w:pStyle w:val="ListParagraph"/>
        <w:numPr>
          <w:ilvl w:val="0"/>
          <w:numId w:val="2"/>
        </w:numPr>
        <w:spacing w:after="60"/>
      </w:pPr>
      <w:r>
        <w:t xml:space="preserve">there was no proof of which checklist a file was graded against;</w:t>
      </w:r>
    </w:p>
    <w:p>
      <w:pPr>
        <w:pStyle w:val="ListParagraph"/>
        <w:numPr>
          <w:ilvl w:val="0"/>
          <w:numId w:val="2"/>
        </w:numPr>
        <w:spacing w:after="60"/>
      </w:pPr>
      <w:r>
        <w:t xml:space="preserve">a regrade overwrote the original result, which is the record a regulator asks for;</w:t>
      </w:r>
    </w:p>
    <w:p>
      <w:pPr>
        <w:pStyle w:val="ListParagraph"/>
        <w:numPr>
          <w:ilvl w:val="0"/>
          <w:numId w:val="2"/>
        </w:numPr>
        <w:spacing w:after="60"/>
      </w:pPr>
      <w:r>
        <w:t xml:space="preserve">fixes (remediation) were chased by email with no clear closure.</w:t>
      </w:r>
    </w:p>
    <w:p>
      <w:pPr>
        <w:spacing w:after="120"/>
      </w:pPr>
      <w:r>
        <w:t xml:space="preserve">OTIS replaces all of that with one database (Microsoft Dataverse) as the single source of truth, and two screens on top of it: one for managers and administrators, one for checkers and advisers. Every status change, grade and correction is stored and audited.</w:t>
      </w:r>
    </w:p>
    <w:p>
      <w:pPr>
        <w:pStyle w:val="Heading1"/>
      </w:pPr>
      <w:r>
        <w:t xml:space="preserve">Who uses it</w:t>
      </w:r>
    </w:p>
    <w:p>
      <w:pPr>
        <w:spacing w:after="120"/>
      </w:pPr>
      <w:r>
        <w:t xml:space="preserve">Nine roles use OTIS. Checkers, advisers and T&amp;C Managers work in the </w:t>
      </w:r>
      <w:r>
        <w:rPr>
          <w:b/>
          <w:bCs/>
        </w:rPr>
        <w:t xml:space="preserve">portal</w:t>
      </w:r>
      <w:r>
        <w:t xml:space="preserve">; managers and administrators work in the </w:t>
      </w:r>
      <w:r>
        <w:rPr>
          <w:b/>
          <w:bCs/>
        </w:rPr>
        <w:t xml:space="preserve">management app</w:t>
      </w:r>
      <w:r>
        <w:t xml:space="preserve">. One person can hold more than one 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5783"/>
        <w:gridCol w:w="1735"/>
      </w:tblGrid>
      <w:tr>
        <w:trPr>
          <w:tblHeader/>
        </w:trPr>
        <w:tc>
          <w:tcPr>
            <w:tcW w:type="dxa" w:w="2120"/>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Role</w:t>
            </w:r>
          </w:p>
        </w:tc>
        <w:tc>
          <w:tcPr>
            <w:tcW w:type="dxa" w:w="5783"/>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What they do</w:t>
            </w:r>
          </w:p>
        </w:tc>
        <w:tc>
          <w:tcPr>
            <w:tcW w:type="dxa" w:w="1735"/>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Where</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AQS Checker</w:t>
            </w:r>
          </w:p>
        </w:tc>
        <w:tc>
          <w:tcPr>
            <w:tcW w:type="dxa" w:w="578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Picks up AQS (advice quality) checks from the queue, completes the checklist and gives the outcome</w:t>
            </w:r>
          </w:p>
        </w:tc>
        <w:tc>
          <w:tcPr>
            <w:tcW w:type="dxa" w:w="1735"/>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Portal</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Tax Checker</w:t>
            </w:r>
          </w:p>
        </w:tc>
        <w:tc>
          <w:tcPr>
            <w:tcW w:type="dxa" w:w="578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Completes Tax checks allocated to them, then sends the case on to AQS or back to the paraplanner</w:t>
            </w:r>
          </w:p>
        </w:tc>
        <w:tc>
          <w:tcPr>
            <w:tcW w:type="dxa" w:w="1735"/>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Portal</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AQS Team Manager</w:t>
            </w:r>
          </w:p>
        </w:tc>
        <w:tc>
          <w:tcPr>
            <w:tcW w:type="dxa" w:w="578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Allocates AQS checks to their team and watches workload</w:t>
            </w:r>
          </w:p>
        </w:tc>
        <w:tc>
          <w:tcPr>
            <w:tcW w:type="dxa" w:w="1735"/>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App</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Tax Team Manager</w:t>
            </w:r>
          </w:p>
        </w:tc>
        <w:tc>
          <w:tcPr>
            <w:tcW w:type="dxa" w:w="578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Allocates Tax checks to their team and watches workload</w:t>
            </w:r>
          </w:p>
        </w:tc>
        <w:tc>
          <w:tcPr>
            <w:tcW w:type="dxa" w:w="1735"/>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App</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Adviser</w:t>
            </w:r>
          </w:p>
        </w:tc>
        <w:tc>
          <w:tcPr>
            <w:tcW w:type="dxa" w:w="578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Sees failed checks on their own cases and records what they did to put things right</w:t>
            </w:r>
          </w:p>
        </w:tc>
        <w:tc>
          <w:tcPr>
            <w:tcW w:type="dxa" w:w="1735"/>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Portal</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T&amp;C Manager</w:t>
            </w:r>
          </w:p>
        </w:tc>
        <w:tc>
          <w:tcPr>
            <w:tcW w:type="dxa" w:w="578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Signs off the adviser's remediation (approve or reject) and records the final outcome</w:t>
            </w:r>
          </w:p>
        </w:tc>
        <w:tc>
          <w:tcPr>
            <w:tcW w:type="dxa" w:w="1735"/>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Portal</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Paraplanner</w:t>
            </w:r>
          </w:p>
        </w:tc>
        <w:tc>
          <w:tcPr>
            <w:tcW w:type="dxa" w:w="578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Receives an email with a PDF of each completed check; no sign-in</w:t>
            </w:r>
          </w:p>
        </w:tc>
        <w:tc>
          <w:tcPr>
            <w:tcW w:type="dxa" w:w="1735"/>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Email</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OTIS Manager</w:t>
            </w:r>
          </w:p>
        </w:tc>
        <w:tc>
          <w:tcPr>
            <w:tcW w:type="dxa" w:w="578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Oversees all cases and can allocate either type of check</w:t>
            </w:r>
          </w:p>
        </w:tc>
        <w:tc>
          <w:tcPr>
            <w:tcW w:type="dxa" w:w="1735"/>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App</w:t>
            </w:r>
          </w:p>
        </w:tc>
      </w:tr>
      <w:tr>
        <w:trPr>
          <w:cantSplit/>
        </w:trPr>
        <w:tc>
          <w:tcPr>
            <w:tcW w:type="dxa" w:w="212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Administrator</w:t>
            </w:r>
          </w:p>
        </w:tc>
        <w:tc>
          <w:tcPr>
            <w:tcW w:type="dxa" w:w="5783"/>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Imports cases, manages people and roles, maintains the checklist and settings, runs reports and exports</w:t>
            </w:r>
          </w:p>
        </w:tc>
        <w:tc>
          <w:tcPr>
            <w:tcW w:type="dxa" w:w="1735"/>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App and portal</w:t>
            </w:r>
          </w:p>
        </w:tc>
      </w:tr>
    </w:tbl>
    <w:p>
      <w:pPr>
        <w:spacing w:after="120"/>
      </w:pPr>
    </w:p>
    <w:p>
      <w:pPr>
        <w:spacing w:after="120"/>
      </w:pPr>
      <w:r>
        <w:t xml:space="preserve">Every signed-in portal user can </w:t>
      </w:r>
      <w:r>
        <w:rPr>
          <w:b/>
          <w:bCs/>
        </w:rPr>
        <w:t xml:space="preserve">read</w:t>
      </w:r>
      <w:r>
        <w:t xml:space="preserve"> all cases, but can only </w:t>
      </w:r>
      <w:r>
        <w:rPr>
          <w:b/>
          <w:bCs/>
        </w:rPr>
        <w:t xml:space="preserve">act</w:t>
      </w:r>
      <w:r>
        <w:t xml:space="preserve"> on work assigned to them. Regional managers receive notification emails only and have no sign-in.</w:t>
      </w:r>
    </w:p>
    <w:p>
      <w:pPr>
        <w:spacing w:after="120"/>
      </w:pPr>
      <w:r>
        <w:t xml:space="preserve">Each role has its own plain-language PDF guide in </w:t>
      </w:r>
      <w:r>
        <w:rPr>
          <w:rFonts w:ascii="Consolas" w:cs="Consolas" w:eastAsia="Consolas" w:hAnsi="Consolas"/>
          <w:sz w:val="19"/>
          <w:szCs w:val="19"/>
        </w:rPr>
        <w:t xml:space="preserve">docs/user-guides/</w:t>
      </w:r>
      <w:r>
        <w:t xml:space="preserve">.</w:t>
      </w:r>
    </w:p>
    <w:p>
      <w:pPr>
        <w:pStyle w:val="Heading1"/>
      </w:pPr>
      <w:r>
        <w:t xml:space="preserve">How a case moves through OTIS</w:t>
      </w:r>
    </w:p>
    <w:p>
      <w:pPr>
        <w:spacing w:after="120"/>
      </w:pPr>
      <w:r>
        <w:t xml:space="preserve">A case goes from import to closure along one fixed path. The server refuses any status change that is not on it.</w:t>
      </w:r>
    </w:p>
    <w:p>
      <w:pPr>
        <w:spacing w:after="60" w:before="120"/>
        <w:jc w:val="center"/>
      </w:pPr>
      <w:r>
        <w:drawing>
          <wp:inline distT="0" distB="0" distL="0" distR="0">
            <wp:extent cx="5715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95650"/>
                    </a:xfrm>
                    <a:prstGeom prst="rect">
                      <a:avLst/>
                    </a:prstGeom>
                  </pic:spPr>
                </pic:pic>
              </a:graphicData>
            </a:graphic>
          </wp:inline>
        </w:drawing>
      </w:r>
    </w:p>
    <w:p>
      <w:pPr>
        <w:spacing w:after="200"/>
        <w:jc w:val="center"/>
      </w:pPr>
      <w:r>
        <w:rPr>
          <w:i/>
          <w:iCs/>
          <w:color w:val="4F6B6B"/>
          <w:sz w:val="18"/>
          <w:szCs w:val="18"/>
        </w:rPr>
        <w:t xml:space="preserve">Figure 1. The case journey</w:t>
      </w:r>
    </w:p>
    <w:p>
      <w:pPr>
        <w:spacing w:after="120"/>
      </w:pPr>
      <w:r>
        <w:t xml:space="preserve">A pass closes the case straight away. Any other grade sends the case to the adviser, and a rejected sign-off loops back to them with notes. A Tax checker can also return a case to the paraplanner, which ends it at the Tax check.</w:t>
      </w:r>
    </w:p>
    <w:p>
      <w:pPr>
        <w:pStyle w:val="Heading3"/>
      </w:pPr>
      <w:r>
        <w:t xml:space="preserve">Emails along the way</w:t>
      </w:r>
    </w:p>
    <w:p>
      <w:pPr>
        <w:pStyle w:val="ListParagraph"/>
        <w:numPr>
          <w:ilvl w:val="0"/>
          <w:numId w:val="2"/>
        </w:numPr>
        <w:spacing w:after="60"/>
      </w:pPr>
      <w:r>
        <w:t xml:space="preserve">The checker is emailed when a case is allocated to them.</w:t>
      </w:r>
    </w:p>
    <w:p>
      <w:pPr>
        <w:pStyle w:val="ListParagraph"/>
        <w:numPr>
          <w:ilvl w:val="0"/>
          <w:numId w:val="2"/>
        </w:numPr>
        <w:spacing w:after="60"/>
      </w:pPr>
      <w:r>
        <w:t xml:space="preserve">The paraplanner is emailed a PDF of each completed check.</w:t>
      </w:r>
    </w:p>
    <w:p>
      <w:pPr>
        <w:pStyle w:val="ListParagraph"/>
        <w:numPr>
          <w:ilvl w:val="0"/>
          <w:numId w:val="2"/>
        </w:numPr>
        <w:spacing w:after="60"/>
      </w:pPr>
      <w:r>
        <w:t xml:space="preserve">The adviser is emailed when remediation is needed, and again if it is rejected.</w:t>
      </w:r>
    </w:p>
    <w:p>
      <w:pPr>
        <w:pStyle w:val="ListParagraph"/>
        <w:numPr>
          <w:ilvl w:val="0"/>
          <w:numId w:val="2"/>
        </w:numPr>
        <w:spacing w:after="60"/>
      </w:pPr>
      <w:r>
        <w:t xml:space="preserve">The T&amp;C Manager is emailed when an adviser sends remediation for sign-off.</w:t>
      </w:r>
    </w:p>
    <w:p>
      <w:pPr>
        <w:pStyle w:val="Heading1"/>
      </w:pPr>
      <w:r>
        <w:t xml:space="preserve">The building blocks</w:t>
      </w:r>
    </w:p>
    <w:p>
      <w:pPr>
        <w:spacing w:after="120"/>
      </w:pPr>
      <w:r>
        <w:t xml:space="preserve">OTIS is built entirely on Microsoft Power Platform. Two front ends sit on one database, and all business logic runs once, on the server.</w:t>
      </w:r>
    </w:p>
    <w:p>
      <w:pPr>
        <w:spacing w:after="60" w:before="120"/>
        <w:jc w:val="center"/>
      </w:pPr>
      <w:r>
        <w:drawing>
          <wp:inline distT="0" distB="0" distL="0" distR="0">
            <wp:extent cx="5715000" cy="46005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600575"/>
                    </a:xfrm>
                    <a:prstGeom prst="rect">
                      <a:avLst/>
                    </a:prstGeom>
                  </pic:spPr>
                </pic:pic>
              </a:graphicData>
            </a:graphic>
          </wp:inline>
        </w:drawing>
      </w:r>
    </w:p>
    <w:p>
      <w:pPr>
        <w:spacing w:after="200"/>
        <w:jc w:val="center"/>
      </w:pPr>
      <w:r>
        <w:rPr>
          <w:i/>
          <w:iCs/>
          <w:color w:val="4F6B6B"/>
          <w:sz w:val="18"/>
          <w:szCs w:val="18"/>
        </w:rPr>
        <w:t xml:space="preserve">Figure 2. How the parts fit together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7228"/>
      </w:tblGrid>
      <w:tr>
        <w:trPr>
          <w:tblHeader/>
        </w:trPr>
        <w:tc>
          <w:tcPr>
            <w:tcW w:type="dxa" w:w="2410"/>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Part</w:t>
            </w:r>
          </w:p>
        </w:tc>
        <w:tc>
          <w:tcPr>
            <w:tcW w:type="dxa" w:w="7228"/>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What it does</w:t>
            </w:r>
          </w:p>
        </w:tc>
      </w:tr>
      <w:tr>
        <w:trPr>
          <w:cantSplit/>
        </w:trPr>
        <w:tc>
          <w:tcPr>
            <w:tcW w:type="dxa" w:w="241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Management app</w:t>
            </w:r>
          </w:p>
        </w:tc>
        <w:tc>
          <w:tcPr>
            <w:tcW w:type="dxa" w:w="722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The managers' and administrators' screen: dashboard, case worklist, allocation, case intake, reporting, Trail Light export, question library, adviser mapping, email wording, dropdown options, security and people</w:t>
            </w:r>
          </w:p>
        </w:tc>
      </w:tr>
      <w:tr>
        <w:trPr>
          <w:cantSplit/>
        </w:trPr>
        <w:tc>
          <w:tcPr>
            <w:tcW w:type="dxa" w:w="241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Portal</w:t>
            </w:r>
          </w:p>
        </w:tc>
        <w:tc>
          <w:tcPr>
            <w:tcW w:type="dxa" w:w="722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The working screen for checkers, advisers and T&amp;C Managers: queues, the checklist, remediation and sign-off. Every page checks the signed-in person's role</w:t>
            </w:r>
          </w:p>
        </w:tc>
      </w:tr>
      <w:tr>
        <w:trPr>
          <w:cantSplit/>
        </w:trPr>
        <w:tc>
          <w:tcPr>
            <w:tcW w:type="dxa" w:w="241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Server commands and rules</w:t>
            </w:r>
          </w:p>
        </w:tc>
        <w:tc>
          <w:tcPr>
            <w:tcW w:type="dxa" w:w="722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Each action (allocate, submit, sign off, regrade, import) is a server command. Plug-ins check every write, so a rule cannot be skipped from either screen</w:t>
            </w:r>
          </w:p>
        </w:tc>
      </w:tr>
      <w:tr>
        <w:trPr>
          <w:cantSplit/>
        </w:trPr>
        <w:tc>
          <w:tcPr>
            <w:tcW w:type="dxa" w:w="241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Dataverse</w:t>
            </w:r>
          </w:p>
        </w:tc>
        <w:tc>
          <w:tcPr>
            <w:tcW w:type="dxa" w:w="722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Stores everything as linked records: a case holds its checks, each check holds its answers, and each answer points to the exact question version used</w:t>
            </w:r>
          </w:p>
        </w:tc>
      </w:tr>
      <w:tr>
        <w:trPr>
          <w:cantSplit/>
        </w:trPr>
        <w:tc>
          <w:tcPr>
            <w:tcW w:type="dxa" w:w="241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Email</w:t>
            </w:r>
          </w:p>
        </w:tc>
        <w:tc>
          <w:tcPr>
            <w:tcW w:type="dxa" w:w="722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Notifications are queued as records, then sent as emails, with PDFs of completed checks attached</w:t>
            </w:r>
          </w:p>
        </w:tc>
      </w:tr>
    </w:tbl>
    <w:p>
      <w:pPr>
        <w:spacing w:after="120"/>
      </w:pPr>
    </w:p>
    <w:p>
      <w:pPr>
        <w:spacing w:after="120"/>
      </w:pPr>
      <w:r>
        <w:t xml:space="preserve">Client documents are not copied into OTIS. They stay in Intelligent Office and are referenced from the case.</w:t>
      </w:r>
    </w:p>
    <w:p>
      <w:pPr>
        <w:pStyle w:val="Heading1"/>
      </w:pPr>
      <w:r>
        <w:t xml:space="preserve">Key rules</w:t>
      </w:r>
    </w:p>
    <w:p>
      <w:pPr>
        <w:spacing w:after="120"/>
      </w:pPr>
      <w:r>
        <w:t xml:space="preserve">These rules are enforced on the server, so they apply the same way whichever screen is used.</w:t>
      </w:r>
    </w:p>
    <w:p>
      <w:pPr>
        <w:pStyle w:val="Heading3"/>
      </w:pPr>
      <w:r>
        <w:t xml:space="preserve">Routing and allocation</w:t>
      </w:r>
    </w:p>
    <w:p>
      <w:pPr>
        <w:pStyle w:val="ListParagraph"/>
        <w:numPr>
          <w:ilvl w:val="0"/>
          <w:numId w:val="2"/>
        </w:numPr>
        <w:spacing w:after="60"/>
      </w:pPr>
      <w:r>
        <w:t xml:space="preserve">A case needs a Tax check, an AQS check, or both. When it needs both, Tax goes first.</w:t>
      </w:r>
    </w:p>
    <w:p>
      <w:pPr>
        <w:pStyle w:val="ListParagraph"/>
        <w:numPr>
          <w:ilvl w:val="0"/>
          <w:numId w:val="2"/>
        </w:numPr>
        <w:spacing w:after="60"/>
      </w:pPr>
      <w:r>
        <w:t xml:space="preserve">Allocation is manual. A team manager assigns a case, or an AQS checker picks one up from the queue. There is no automatic routing.</w:t>
      </w:r>
    </w:p>
    <w:p>
      <w:pPr>
        <w:pStyle w:val="ListParagraph"/>
        <w:numPr>
          <w:ilvl w:val="0"/>
          <w:numId w:val="2"/>
        </w:numPr>
        <w:spacing w:after="60"/>
      </w:pPr>
      <w:r>
        <w:t xml:space="preserve">Tax and AQS team managers can only allocate within their own team, and only to people who hold the matching checker role.</w:t>
      </w:r>
    </w:p>
    <w:p>
      <w:pPr>
        <w:pStyle w:val="ListParagraph"/>
        <w:numPr>
          <w:ilvl w:val="0"/>
          <w:numId w:val="2"/>
        </w:numPr>
        <w:spacing w:after="60"/>
      </w:pPr>
      <w:r>
        <w:t xml:space="preserve">Moving a case to another checker keeps the work already done.</w:t>
      </w:r>
    </w:p>
    <w:p>
      <w:pPr>
        <w:pStyle w:val="Heading3"/>
      </w:pPr>
      <w:r>
        <w:t xml:space="preserve">Checklist and grading</w:t>
      </w:r>
    </w:p>
    <w:p>
      <w:pPr>
        <w:pStyle w:val="ListParagraph"/>
        <w:numPr>
          <w:ilvl w:val="0"/>
          <w:numId w:val="2"/>
        </w:numPr>
        <w:spacing w:after="60"/>
      </w:pPr>
      <w:r>
        <w:t xml:space="preserve">Checks use the Checker Checklist (version 8), split into sections of questions.</w:t>
      </w:r>
    </w:p>
    <w:p>
      <w:pPr>
        <w:pStyle w:val="ListParagraph"/>
        <w:numPr>
          <w:ilvl w:val="0"/>
          <w:numId w:val="2"/>
        </w:numPr>
        <w:spacing w:after="60"/>
      </w:pPr>
      <w:r>
        <w:t xml:space="preserve">Questions and sections are never deleted. They are dated in and out, and a submitted check always reads as it did on the day it was submitted.</w:t>
      </w:r>
    </w:p>
    <w:p>
      <w:pPr>
        <w:pStyle w:val="ListParagraph"/>
        <w:numPr>
          <w:ilvl w:val="0"/>
          <w:numId w:val="2"/>
        </w:numPr>
        <w:spacing w:after="60"/>
      </w:pPr>
      <w:r>
        <w:t xml:space="preserve">The AQS grade is one of </w:t>
      </w:r>
      <w:r>
        <w:rPr>
          <w:b/>
          <w:bCs/>
        </w:rPr>
        <w:t xml:space="preserve">Pass</w:t>
      </w:r>
      <w:r>
        <w:t xml:space="preserve">, </w:t>
      </w:r>
      <w:r>
        <w:rPr>
          <w:b/>
          <w:bCs/>
        </w:rPr>
        <w:t xml:space="preserve">Pass with issues</w:t>
      </w:r>
      <w:r>
        <w:t xml:space="preserve">, </w:t>
      </w:r>
      <w:r>
        <w:rPr>
          <w:b/>
          <w:bCs/>
        </w:rPr>
        <w:t xml:space="preserve">Insufficient evidence</w:t>
      </w:r>
      <w:r>
        <w:t xml:space="preserve"> or </w:t>
      </w:r>
      <w:r>
        <w:rPr>
          <w:b/>
          <w:bCs/>
        </w:rPr>
        <w:t xml:space="preserve">Potential harm</w:t>
      </w:r>
      <w:r>
        <w:t xml:space="preserve">. Any grade other than Pass needs a root cause.</w:t>
      </w:r>
    </w:p>
    <w:p>
      <w:pPr>
        <w:pStyle w:val="ListParagraph"/>
        <w:numPr>
          <w:ilvl w:val="0"/>
          <w:numId w:val="2"/>
        </w:numPr>
        <w:spacing w:after="60"/>
      </w:pPr>
      <w:r>
        <w:t xml:space="preserve">A check cannot be submitted until every required question is answered and every fail point has a remedial action.</w:t>
      </w:r>
    </w:p>
    <w:p>
      <w:pPr>
        <w:pStyle w:val="Heading3"/>
      </w:pPr>
      <w:r>
        <w:t xml:space="preserve">Remediation and sign-off</w:t>
      </w:r>
    </w:p>
    <w:p>
      <w:pPr>
        <w:pStyle w:val="ListParagraph"/>
        <w:numPr>
          <w:ilvl w:val="0"/>
          <w:numId w:val="2"/>
        </w:numPr>
        <w:spacing w:after="60"/>
      </w:pPr>
      <w:r>
        <w:t xml:space="preserve">A non-pass outcome creates remediation for the adviser, but only once every check on the case is finished.</w:t>
      </w:r>
    </w:p>
    <w:p>
      <w:pPr>
        <w:pStyle w:val="ListParagraph"/>
        <w:numPr>
          <w:ilvl w:val="0"/>
          <w:numId w:val="2"/>
        </w:numPr>
        <w:spacing w:after="60"/>
      </w:pPr>
      <w:r>
        <w:t xml:space="preserve">The adviser records whether each action was performed, then sends it to their T&amp;C Manager.</w:t>
      </w:r>
    </w:p>
    <w:p>
      <w:pPr>
        <w:pStyle w:val="ListParagraph"/>
        <w:numPr>
          <w:ilvl w:val="0"/>
          <w:numId w:val="2"/>
        </w:numPr>
        <w:spacing w:after="60"/>
      </w:pPr>
      <w:r>
        <w:t xml:space="preserve">Sign-off needs the adviser to be mapped to a T&amp;C Manager. Without that mapping, sign-off is refused.</w:t>
      </w:r>
    </w:p>
    <w:p>
      <w:pPr>
        <w:pStyle w:val="ListParagraph"/>
        <w:numPr>
          <w:ilvl w:val="0"/>
          <w:numId w:val="2"/>
        </w:numPr>
        <w:spacing w:after="60"/>
      </w:pPr>
      <w:r>
        <w:t xml:space="preserve">The T&amp;C Manager approves (and records the final outcome) or rejects with notes, which sends it back to the adviser.</w:t>
      </w:r>
    </w:p>
    <w:p>
      <w:pPr>
        <w:pStyle w:val="Heading3"/>
      </w:pPr>
      <w:r>
        <w:t xml:space="preserve">Outcomes and history</w:t>
      </w:r>
    </w:p>
    <w:p>
      <w:pPr>
        <w:pStyle w:val="ListParagraph"/>
        <w:numPr>
          <w:ilvl w:val="0"/>
          <w:numId w:val="2"/>
        </w:numPr>
        <w:spacing w:after="60"/>
      </w:pPr>
      <w:r>
        <w:t xml:space="preserve">Both the initial and the final outcome are kept. A regrade never overwrites the original.</w:t>
      </w:r>
    </w:p>
    <w:p>
      <w:pPr>
        <w:pStyle w:val="ListParagraph"/>
        <w:numPr>
          <w:ilvl w:val="0"/>
          <w:numId w:val="2"/>
        </w:numPr>
        <w:spacing w:after="60"/>
      </w:pPr>
      <w:r>
        <w:t xml:space="preserve">A closed case cannot be edited. Correcting an outcome is a T&amp;C Manager action that needs a reason, and it is recorded in the audit log.</w:t>
      </w:r>
    </w:p>
    <w:p>
      <w:pPr>
        <w:pStyle w:val="ListParagraph"/>
        <w:numPr>
          <w:ilvl w:val="0"/>
          <w:numId w:val="2"/>
        </w:numPr>
        <w:spacing w:after="60"/>
      </w:pPr>
      <w:r>
        <w:t xml:space="preserve">Case statuses can only move forward along the allowed path. </w:t>
      </w:r>
      <w:r>
        <w:rPr>
          <w:b/>
          <w:bCs/>
        </w:rPr>
        <w:t xml:space="preserve">Closed</w:t>
      </w:r>
      <w:r>
        <w:t xml:space="preserve"> and </w:t>
      </w:r>
      <w:r>
        <w:rPr>
          <w:b/>
          <w:bCs/>
        </w:rPr>
        <w:t xml:space="preserve">No Check Required</w:t>
      </w:r>
      <w:r>
        <w:t xml:space="preserve"> are final.</w:t>
      </w:r>
    </w:p>
    <w:p>
      <w:pPr>
        <w:pStyle w:val="Heading3"/>
      </w:pPr>
      <w:r>
        <w:t xml:space="preserve">Emails and exports</w:t>
      </w:r>
    </w:p>
    <w:p>
      <w:pPr>
        <w:pStyle w:val="ListParagraph"/>
        <w:numPr>
          <w:ilvl w:val="0"/>
          <w:numId w:val="2"/>
        </w:numPr>
        <w:spacing w:after="60"/>
      </w:pPr>
      <w:r>
        <w:t xml:space="preserve">All notifications are by email. Administrators can edit the wording in the app.</w:t>
      </w:r>
    </w:p>
    <w:p>
      <w:pPr>
        <w:pStyle w:val="ListParagraph"/>
        <w:numPr>
          <w:ilvl w:val="0"/>
          <w:numId w:val="2"/>
        </w:numPr>
        <w:spacing w:after="60"/>
      </w:pPr>
      <w:r>
        <w:t xml:space="preserve">The Trail Light export is produced by hand, on demand, from closed cases. A Tax-only case is exported with its File Quality and Advice Quality columns blank, because those come from the AQS check.</w:t>
      </w:r>
    </w:p>
    <w:p>
      <w:pPr>
        <w:pStyle w:val="Heading1"/>
      </w:pPr>
      <w:r>
        <w:t xml:space="preserve">Environments and releasing changes</w:t>
      </w:r>
    </w:p>
    <w:p>
      <w:pPr>
        <w:spacing w:after="120"/>
      </w:pPr>
      <w:r>
        <w:t xml:space="preserve">There are three environments. Changes are built in DEV and move forward only as a packaged, managed 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4819"/>
        <w:gridCol w:w="2409"/>
      </w:tblGrid>
      <w:tr>
        <w:trPr>
          <w:tblHeader/>
        </w:trPr>
        <w:tc>
          <w:tcPr>
            <w:tcW w:type="dxa" w:w="2410"/>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Environment</w:t>
            </w:r>
          </w:p>
        </w:tc>
        <w:tc>
          <w:tcPr>
            <w:tcW w:type="dxa" w:w="4819"/>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Purpose</w:t>
            </w:r>
          </w:p>
        </w:tc>
        <w:tc>
          <w:tcPr>
            <w:tcW w:type="dxa" w:w="2409"/>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Name shown to users</w:t>
            </w:r>
          </w:p>
        </w:tc>
      </w:tr>
      <w:tr>
        <w:trPr>
          <w:cantSplit/>
        </w:trPr>
        <w:tc>
          <w:tcPr>
            <w:tcW w:type="dxa" w:w="241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DEV (Env_AQ_Dev)</w:t>
            </w:r>
          </w:p>
        </w:tc>
        <w:tc>
          <w:tcPr>
            <w:tcW w:type="dxa" w:w="481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All building and first testing</w:t>
            </w:r>
          </w:p>
        </w:tc>
        <w:tc>
          <w:tcPr>
            <w:tcW w:type="dxa" w:w="240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Outcome Testing</w:t>
            </w:r>
          </w:p>
        </w:tc>
      </w:tr>
      <w:tr>
        <w:trPr>
          <w:cantSplit/>
        </w:trPr>
        <w:tc>
          <w:tcPr>
            <w:tcW w:type="dxa" w:w="241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TEST (Env_AQ_Test)</w:t>
            </w:r>
          </w:p>
        </w:tc>
        <w:tc>
          <w:tcPr>
            <w:tcW w:type="dxa" w:w="481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User acceptance testing on a managed copy</w:t>
            </w:r>
          </w:p>
        </w:tc>
        <w:tc>
          <w:tcPr>
            <w:tcW w:type="dxa" w:w="240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Outcome Testing</w:t>
            </w:r>
          </w:p>
        </w:tc>
      </w:tr>
      <w:tr>
        <w:trPr>
          <w:cantSplit/>
        </w:trPr>
        <w:tc>
          <w:tcPr>
            <w:tcW w:type="dxa" w:w="241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PROD</w:t>
            </w:r>
          </w:p>
        </w:tc>
        <w:tc>
          <w:tcPr>
            <w:tcW w:type="dxa" w:w="481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Live use; portal at otis-ascotlloyd.powerappsportals.com</w:t>
            </w:r>
          </w:p>
        </w:tc>
        <w:tc>
          <w:tcPr>
            <w:tcW w:type="dxa" w:w="240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OTIS</w:t>
            </w:r>
          </w:p>
        </w:tc>
      </w:tr>
    </w:tbl>
    <w:p>
      <w:pPr>
        <w:spacing w:after="120"/>
      </w:pPr>
    </w:p>
    <w:p>
      <w:pPr>
        <w:spacing w:after="120"/>
      </w:pPr>
      <w:r>
        <w:t xml:space="preserve">The product name is one setting per environment, so the same package says "Outcome Testing" in DEV and TEST and "OTIS" in PROD.</w:t>
      </w:r>
    </w:p>
    <w:p>
      <w:pPr>
        <w:pStyle w:val="Heading3"/>
      </w:pPr>
      <w:r>
        <w:t xml:space="preserve">How a release moves</w:t>
      </w:r>
    </w:p>
    <w:p>
      <w:pPr>
        <w:pStyle w:val="ListParagraph"/>
        <w:numPr>
          <w:ilvl w:val="0"/>
          <w:numId w:val="3"/>
        </w:numPr>
        <w:spacing w:after="60"/>
      </w:pPr>
      <w:r>
        <w:t xml:space="preserve">Build and test in DEV: plug-ins, the management app and portal pages.</w:t>
      </w:r>
    </w:p>
    <w:p>
      <w:pPr>
        <w:pStyle w:val="ListParagraph"/>
        <w:numPr>
          <w:ilvl w:val="0"/>
          <w:numId w:val="3"/>
        </w:numPr>
        <w:spacing w:after="60"/>
      </w:pPr>
      <w:r>
        <w:t xml:space="preserve">Export the OutcomeTesting solution as a managed package. It carries the tables, plug-ins, server commands, security roles, the management app and the portal pages together.</w:t>
      </w:r>
    </w:p>
    <w:p>
      <w:pPr>
        <w:pStyle w:val="ListParagraph"/>
        <w:numPr>
          <w:ilvl w:val="0"/>
          <w:numId w:val="3"/>
        </w:numPr>
        <w:spacing w:after="60"/>
      </w:pPr>
      <w:r>
        <w:t xml:space="preserve">For PROD only, rebrand the package to OTIS with the registration tool's </w:t>
      </w:r>
      <w:r>
        <w:rPr>
          <w:rFonts w:ascii="Consolas" w:cs="Consolas" w:eastAsia="Consolas" w:hAnsi="Consolas"/>
          <w:sz w:val="19"/>
          <w:szCs w:val="19"/>
        </w:rPr>
        <w:t xml:space="preserve">brandpackage</w:t>
      </w:r>
      <w:r>
        <w:t xml:space="preserve"> command.</w:t>
      </w:r>
    </w:p>
    <w:p>
      <w:pPr>
        <w:pStyle w:val="ListParagraph"/>
        <w:numPr>
          <w:ilvl w:val="0"/>
          <w:numId w:val="3"/>
        </w:numPr>
        <w:spacing w:after="60"/>
      </w:pPr>
      <w:r>
        <w:t xml:space="preserve">Import with </w:t>
      </w:r>
      <w:r>
        <w:rPr>
          <w:rFonts w:ascii="Consolas" w:cs="Consolas" w:eastAsia="Consolas" w:hAnsi="Consolas"/>
          <w:sz w:val="19"/>
          <w:szCs w:val="19"/>
        </w:rPr>
        <w:t xml:space="preserve">scripts/Import-Solution.ps1</w:t>
      </w:r>
      <w:r>
        <w:t xml:space="preserve">. It always switches the plug-in steps on and checks they are running, because an import without that silently disables the server-side rules.</w:t>
      </w:r>
    </w:p>
    <w:p>
      <w:pPr>
        <w:pStyle w:val="ListParagraph"/>
        <w:numPr>
          <w:ilvl w:val="0"/>
          <w:numId w:val="3"/>
        </w:numPr>
        <w:spacing w:after="60"/>
      </w:pPr>
      <w:r>
        <w:t xml:space="preserve">Read the solution version back from the target to confirm the import really happened.</w:t>
      </w:r>
    </w:p>
    <w:p>
      <w:pPr>
        <w:pStyle w:val="ListParagraph"/>
        <w:numPr>
          <w:ilvl w:val="0"/>
          <w:numId w:val="3"/>
        </w:numPr>
        <w:spacing w:after="60"/>
      </w:pPr>
      <w:r>
        <w:t xml:space="preserve">Copy configuration data separately (dropdown options, email wording, adviser mappings). It is data, not part of the solution.</w:t>
      </w:r>
    </w:p>
    <w:p>
      <w:pPr>
        <w:spacing w:after="120"/>
      </w:pPr>
      <w:r>
        <w:rPr>
          <w:b/>
          <w:bCs/>
        </w:rPr>
        <w:t xml:space="preserve">Set by hand in each environment, never shipped:</w:t>
      </w:r>
      <w:r>
        <w:t xml:space="preserve"> the portal's web address, its Entra sign-in, and the product name.</w:t>
      </w:r>
    </w:p>
    <w:p>
      <w:pPr>
        <w:spacing w:after="120"/>
      </w:pPr>
      <w:r>
        <w:t xml:space="preserve">PROD runs version 1.0.18.0, installed on 1 October 2026. Still to do before go-live: approve the sending mailbox, share the management app, set site access, and run one real case end to end. Every PROD change is approved and carried out by the system owner.</w:t>
      </w:r>
    </w:p>
    <w:p>
      <w:pPr>
        <w:pStyle w:val="Heading1"/>
      </w:pPr>
      <w:r>
        <w:t xml:space="preserve">Running it day to day</w:t>
      </w:r>
    </w:p>
    <w:p>
      <w:pPr>
        <w:spacing w:after="120"/>
      </w:pPr>
      <w:r>
        <w:t xml:space="preserve">Most routine work is done by administrators in the management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6939"/>
      </w:tblGrid>
      <w:tr>
        <w:trPr>
          <w:tblHeader/>
        </w:trPr>
        <w:tc>
          <w:tcPr>
            <w:tcW w:type="dxa" w:w="2699"/>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How often</w:t>
            </w:r>
          </w:p>
        </w:tc>
        <w:tc>
          <w:tcPr>
            <w:tcW w:type="dxa" w:w="6939"/>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Task</w:t>
            </w:r>
          </w:p>
        </w:tc>
      </w:tr>
      <w:tr>
        <w:trPr>
          <w:cantSplit/>
        </w:trPr>
        <w:tc>
          <w:tcPr>
            <w:tcW w:type="dxa" w:w="269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Daily</w:t>
            </w:r>
          </w:p>
        </w:tc>
        <w:tc>
          <w:tcPr>
            <w:tcW w:type="dxa" w:w="693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Upload the Intelligent Office extract and resolve rows that failed the checks. Look for cases waiting too long for allocation, and for overdue remediation.</w:t>
            </w:r>
          </w:p>
        </w:tc>
      </w:tr>
      <w:tr>
        <w:trPr>
          <w:cantSplit/>
        </w:trPr>
        <w:tc>
          <w:tcPr>
            <w:tcW w:type="dxa" w:w="269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When people join, move or leave</w:t>
            </w:r>
          </w:p>
        </w:tc>
        <w:tc>
          <w:tcPr>
            <w:tcW w:type="dxa" w:w="693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Update their roles on the </w:t>
            </w:r>
            <w:r>
              <w:rPr>
                <w:b/>
                <w:bCs/>
                <w:sz w:val="19"/>
                <w:szCs w:val="19"/>
              </w:rPr>
              <w:t xml:space="preserve">People</w:t>
            </w:r>
            <w:r>
              <w:rPr>
                <w:sz w:val="19"/>
                <w:szCs w:val="19"/>
              </w:rPr>
              <w:t xml:space="preserve"> page and keep the adviser-to-T&amp;C Manager mapping current.</w:t>
            </w:r>
          </w:p>
        </w:tc>
      </w:tr>
      <w:tr>
        <w:trPr>
          <w:cantSplit/>
        </w:trPr>
        <w:tc>
          <w:tcPr>
            <w:tcW w:type="dxa" w:w="269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When the checklist changes</w:t>
            </w:r>
          </w:p>
        </w:tc>
        <w:tc>
          <w:tcPr>
            <w:tcW w:type="dxa" w:w="693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Date questions or sections in or out in the </w:t>
            </w:r>
            <w:r>
              <w:rPr>
                <w:b/>
                <w:bCs/>
                <w:sz w:val="19"/>
                <w:szCs w:val="19"/>
              </w:rPr>
              <w:t xml:space="preserve">Question library</w:t>
            </w:r>
            <w:r>
              <w:rPr>
                <w:sz w:val="19"/>
                <w:szCs w:val="19"/>
              </w:rPr>
              <w:t xml:space="preserve">.</w:t>
            </w:r>
          </w:p>
        </w:tc>
      </w:tr>
      <w:tr>
        <w:trPr>
          <w:cantSplit/>
        </w:trPr>
        <w:tc>
          <w:tcPr>
            <w:tcW w:type="dxa" w:w="269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As needed</w:t>
            </w:r>
          </w:p>
        </w:tc>
        <w:tc>
          <w:tcPr>
            <w:tcW w:type="dxa" w:w="6939"/>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Reallocate cases, correct case details, run reports, produce the Trail Light export.</w:t>
            </w:r>
          </w:p>
        </w:tc>
      </w:tr>
    </w:tbl>
    <w:p>
      <w:pPr>
        <w:spacing w:after="120"/>
      </w:pPr>
    </w:p>
    <w:p>
      <w:pPr>
        <w:pStyle w:val="Heading3"/>
      </w:pPr>
      <w:r>
        <w:t xml:space="preserve">Giving someone access</w:t>
      </w:r>
    </w:p>
    <w:p>
      <w:pPr>
        <w:pStyle w:val="ListParagraph"/>
        <w:numPr>
          <w:ilvl w:val="0"/>
          <w:numId w:val="4"/>
        </w:numPr>
        <w:spacing w:after="60"/>
      </w:pPr>
      <w:r>
        <w:t xml:space="preserve">Grant them access to the portal site (Power Pages, Site visibility). Using one Entra group for this is easiest.</w:t>
      </w:r>
    </w:p>
    <w:p>
      <w:pPr>
        <w:pStyle w:val="ListParagraph"/>
        <w:numPr>
          <w:ilvl w:val="0"/>
          <w:numId w:val="4"/>
        </w:numPr>
        <w:spacing w:after="60"/>
      </w:pPr>
      <w:r>
        <w:t xml:space="preserve">Make sure they exist as a person (contact) with their work email, and that their sign-in is linked. For many people at once, the registration tool's </w:t>
      </w:r>
      <w:r>
        <w:rPr>
          <w:rFonts w:ascii="Consolas" w:cs="Consolas" w:eastAsia="Consolas" w:hAnsi="Consolas"/>
          <w:sz w:val="19"/>
          <w:szCs w:val="19"/>
        </w:rPr>
        <w:t xml:space="preserve">onboardpeople</w:t>
      </w:r>
      <w:r>
        <w:t xml:space="preserve"> command does this from a people file.</w:t>
      </w:r>
    </w:p>
    <w:p>
      <w:pPr>
        <w:pStyle w:val="ListParagraph"/>
        <w:numPr>
          <w:ilvl w:val="0"/>
          <w:numId w:val="4"/>
        </w:numPr>
        <w:spacing w:after="60"/>
      </w:pPr>
      <w:r>
        <w:t xml:space="preserve">Give them their roles on the </w:t>
      </w:r>
      <w:r>
        <w:rPr>
          <w:b/>
          <w:bCs/>
        </w:rPr>
        <w:t xml:space="preserve">People</w:t>
      </w:r>
      <w:r>
        <w:t xml:space="preserve"> page.</w:t>
      </w:r>
    </w:p>
    <w:p>
      <w:pPr>
        <w:pStyle w:val="ListParagraph"/>
        <w:numPr>
          <w:ilvl w:val="0"/>
          <w:numId w:val="4"/>
        </w:numPr>
        <w:spacing w:after="60"/>
      </w:pPr>
      <w:r>
        <w:t xml:space="preserve">If they are an adviser, map them to their T&amp;C Manager.</w:t>
      </w:r>
    </w:p>
    <w:p>
      <w:pPr>
        <w:pStyle w:val="Heading3"/>
      </w:pPr>
      <w:r>
        <w:t xml:space="preserve">Common problems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3181"/>
        <w:gridCol w:w="3180"/>
      </w:tblGrid>
      <w:tr>
        <w:trPr>
          <w:tblHeader/>
        </w:trPr>
        <w:tc>
          <w:tcPr>
            <w:tcW w:type="dxa" w:w="3277"/>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What people see</w:t>
            </w:r>
          </w:p>
        </w:tc>
        <w:tc>
          <w:tcPr>
            <w:tcW w:type="dxa" w:w="3181"/>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Usual cause</w:t>
            </w:r>
          </w:p>
        </w:tc>
        <w:tc>
          <w:tcPr>
            <w:tcW w:type="dxa" w:w="3180"/>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Fix</w:t>
            </w:r>
          </w:p>
        </w:tc>
      </w:tr>
      <w:tr>
        <w:trPr>
          <w:cantSplit/>
        </w:trPr>
        <w:tc>
          <w:tcPr>
            <w:tcW w:type="dxa" w:w="3277"/>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"You don't have access to this site"</w:t>
            </w:r>
          </w:p>
        </w:tc>
        <w:tc>
          <w:tcPr>
            <w:tcW w:type="dxa" w:w="318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Not on the portal's site access list</w:t>
            </w:r>
          </w:p>
        </w:tc>
        <w:tc>
          <w:tcPr>
            <w:tcW w:type="dxa" w:w="318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Add them in Site visibility (step 1 above)</w:t>
            </w:r>
          </w:p>
        </w:tc>
      </w:tr>
      <w:tr>
        <w:trPr>
          <w:cantSplit/>
        </w:trPr>
        <w:tc>
          <w:tcPr>
            <w:tcW w:type="dxa" w:w="3277"/>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Signs in but sees an empty portal</w:t>
            </w:r>
          </w:p>
        </w:tc>
        <w:tc>
          <w:tcPr>
            <w:tcW w:type="dxa" w:w="318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No portal role</w:t>
            </w:r>
          </w:p>
        </w:tc>
        <w:tc>
          <w:tcPr>
            <w:tcW w:type="dxa" w:w="318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Grant a role on the People page</w:t>
            </w:r>
          </w:p>
        </w:tc>
      </w:tr>
      <w:tr>
        <w:trPr>
          <w:cantSplit/>
        </w:trPr>
        <w:tc>
          <w:tcPr>
            <w:tcW w:type="dxa" w:w="3277"/>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Sign-off is refused</w:t>
            </w:r>
          </w:p>
        </w:tc>
        <w:tc>
          <w:tcPr>
            <w:tcW w:type="dxa" w:w="318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Adviser not mapped to a T&amp;C Manager</w:t>
            </w:r>
          </w:p>
        </w:tc>
        <w:tc>
          <w:tcPr>
            <w:tcW w:type="dxa" w:w="318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Add the adviser mapping</w:t>
            </w:r>
          </w:p>
        </w:tc>
      </w:tr>
      <w:tr>
        <w:trPr>
          <w:cantSplit/>
        </w:trPr>
        <w:tc>
          <w:tcPr>
            <w:tcW w:type="dxa" w:w="3277"/>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 case cannot be allocated to someone</w:t>
            </w:r>
          </w:p>
        </w:tc>
        <w:tc>
          <w:tcPr>
            <w:tcW w:type="dxa" w:w="318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The person has no OTIS role, or the wrong checker role</w:t>
            </w:r>
          </w:p>
        </w:tc>
        <w:tc>
          <w:tcPr>
            <w:tcW w:type="dxa" w:w="318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Grant the matching checker role</w:t>
            </w:r>
          </w:p>
        </w:tc>
      </w:tr>
      <w:tr>
        <w:trPr>
          <w:cantSplit/>
        </w:trPr>
        <w:tc>
          <w:tcPr>
            <w:tcW w:type="dxa" w:w="3277"/>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Error mentioning a privilege check in the app</w:t>
            </w:r>
          </w:p>
        </w:tc>
        <w:tc>
          <w:tcPr>
            <w:tcW w:type="dxa" w:w="318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Their role is missing the base user access</w:t>
            </w:r>
          </w:p>
        </w:tc>
        <w:tc>
          <w:tcPr>
            <w:tcW w:type="dxa" w:w="318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Add the Basic User security role alongside the OTIS role</w:t>
            </w:r>
          </w:p>
        </w:tc>
      </w:tr>
      <w:tr>
        <w:trPr>
          <w:cantSplit/>
        </w:trPr>
        <w:tc>
          <w:tcPr>
            <w:tcW w:type="dxa" w:w="3277"/>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An email shows "Sent" but never arrived</w:t>
            </w:r>
          </w:p>
        </w:tc>
        <w:tc>
          <w:tcPr>
            <w:tcW w:type="dxa" w:w="318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"Sent" means queued, not delivered</w:t>
            </w:r>
          </w:p>
        </w:tc>
        <w:tc>
          <w:tcPr>
            <w:tcW w:type="dxa" w:w="318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Check the email record's delivery status</w:t>
            </w:r>
          </w:p>
        </w:tc>
      </w:tr>
      <w:tr>
        <w:trPr>
          <w:cantSplit/>
        </w:trPr>
        <w:tc>
          <w:tcPr>
            <w:tcW w:type="dxa" w:w="3277"/>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 portal page still shows old data after a change</w:t>
            </w:r>
          </w:p>
        </w:tc>
        <w:tc>
          <w:tcPr>
            <w:tcW w:type="dxa" w:w="3181"/>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Portal cache</w:t>
            </w:r>
          </w:p>
        </w:tc>
        <w:tc>
          <w:tcPr>
            <w:tcW w:type="dxa" w:w="318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Wait for the cache, or clear it from the portal admin</w:t>
            </w:r>
          </w:p>
        </w:tc>
      </w:tr>
    </w:tbl>
    <w:p>
      <w:pPr>
        <w:spacing w:after="120"/>
      </w:pPr>
    </w:p>
    <w:p>
      <w:pPr>
        <w:spacing w:after="120"/>
      </w:pPr>
      <w:r>
        <w:t xml:space="preserve">Testing access with an administrator account proves nothing: administrators bypass the site access list. Always test with an ordinary account.</w:t>
      </w:r>
    </w:p>
    <w:p>
      <w:pPr>
        <w:pStyle w:val="Heading1"/>
      </w:pPr>
      <w:r>
        <w:t xml:space="preserve">Where to find more</w:t>
      </w:r>
    </w:p>
    <w:p>
      <w:pPr>
        <w:spacing w:after="120"/>
      </w:pPr>
      <w:r>
        <w:t xml:space="preserve">Everything lives in the OutcomeTesting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7228"/>
      </w:tblGrid>
      <w:tr>
        <w:trPr>
          <w:tblHeader/>
        </w:trPr>
        <w:tc>
          <w:tcPr>
            <w:tcW w:type="dxa" w:w="2410"/>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Folder</w:t>
            </w:r>
          </w:p>
        </w:tc>
        <w:tc>
          <w:tcPr>
            <w:tcW w:type="dxa" w:w="7228"/>
            <w:tcBorders>
              <w:top w:val="single" w:color="C9D5D5" w:sz="4"/>
              <w:left w:val="single" w:color="C9D5D5" w:sz="4"/>
              <w:bottom w:val="single" w:color="C9D5D5" w:sz="4"/>
              <w:right w:val="single" w:color="C9D5D5" w:sz="4"/>
            </w:tcBorders>
            <w:shd w:fill="2B5257" w:color="auto" w:val="clear"/>
            <w:tcMar>
              <w:top w:type="dxa" w:w="60"/>
              <w:left w:type="dxa" w:w="100"/>
              <w:bottom w:type="dxa" w:w="60"/>
              <w:right w:type="dxa" w:w="100"/>
            </w:tcMar>
          </w:tcPr>
          <w:p>
            <w:r>
              <w:rPr>
                <w:b/>
                <w:bCs/>
                <w:color w:val="FFFFFF"/>
                <w:sz w:val="19"/>
                <w:szCs w:val="19"/>
              </w:rPr>
              <w:t xml:space="preserve">What is in it</w:t>
            </w:r>
          </w:p>
        </w:tc>
      </w:tr>
      <w:tr>
        <w:trPr>
          <w:cantSplit/>
        </w:trPr>
        <w:tc>
          <w:tcPr>
            <w:tcW w:type="dxa" w:w="241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src/</w:t>
            </w:r>
          </w:p>
        </w:tc>
        <w:tc>
          <w:tcPr>
            <w:tcW w:type="dxa" w:w="722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The Dataverse solution: tables, security roles, server commands, plug-in registration and portal components</w:t>
            </w:r>
          </w:p>
        </w:tc>
      </w:tr>
      <w:tr>
        <w:trPr>
          <w:cantSplit/>
        </w:trPr>
        <w:tc>
          <w:tcPr>
            <w:tcW w:type="dxa" w:w="241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plugins/</w:t>
            </w:r>
          </w:p>
        </w:tc>
        <w:tc>
          <w:tcPr>
            <w:tcW w:type="dxa" w:w="722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The server-side rules (C#), their tests, and the registration tool used for setup and support tasks</w:t>
            </w:r>
          </w:p>
        </w:tc>
      </w:tr>
      <w:tr>
        <w:trPr>
          <w:cantSplit/>
        </w:trPr>
        <w:tc>
          <w:tcPr>
            <w:tcW w:type="dxa" w:w="241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app/</w:t>
            </w:r>
          </w:p>
        </w:tc>
        <w:tc>
          <w:tcPr>
            <w:tcW w:type="dxa" w:w="722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The management app (React and TypeScript)</w:t>
            </w:r>
          </w:p>
        </w:tc>
      </w:tr>
      <w:tr>
        <w:trPr>
          <w:cantSplit/>
        </w:trPr>
        <w:tc>
          <w:tcPr>
            <w:tcW w:type="dxa" w:w="241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powerpages/</w:t>
            </w:r>
          </w:p>
        </w:tc>
        <w:tc>
          <w:tcPr>
            <w:tcW w:type="dxa" w:w="722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The portal's pages, templates and settings</w:t>
            </w:r>
          </w:p>
        </w:tc>
      </w:tr>
      <w:tr>
        <w:trPr>
          <w:cantSplit/>
        </w:trPr>
        <w:tc>
          <w:tcPr>
            <w:tcW w:type="dxa" w:w="241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scripts/</w:t>
            </w:r>
          </w:p>
        </w:tc>
        <w:tc>
          <w:tcPr>
            <w:tcW w:type="dxa" w:w="722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Import and portal deployment scripts</w:t>
            </w:r>
          </w:p>
        </w:tc>
      </w:tr>
      <w:tr>
        <w:trPr>
          <w:cantSplit/>
        </w:trPr>
        <w:tc>
          <w:tcPr>
            <w:tcW w:type="dxa" w:w="241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docs/user-guides/</w:t>
            </w:r>
          </w:p>
        </w:tc>
        <w:tc>
          <w:tcPr>
            <w:tcW w:type="dxa" w:w="722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One plain-language PDF guide per role</w:t>
            </w:r>
          </w:p>
        </w:tc>
      </w:tr>
      <w:tr>
        <w:trPr>
          <w:cantSplit/>
        </w:trPr>
        <w:tc>
          <w:tcPr>
            <w:tcW w:type="dxa" w:w="241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docs/deployment/</w:t>
            </w:r>
          </w:p>
        </w:tc>
        <w:tc>
          <w:tcPr>
            <w:tcW w:type="dxa" w:w="722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A dated record of every change deployed, and how it was checked</w:t>
            </w:r>
          </w:p>
        </w:tc>
      </w:tr>
      <w:tr>
        <w:trPr>
          <w:cantSplit/>
        </w:trPr>
        <w:tc>
          <w:tcPr>
            <w:tcW w:type="dxa" w:w="241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docs/reference/</w:t>
            </w:r>
          </w:p>
        </w:tc>
        <w:tc>
          <w:tcPr>
            <w:tcW w:type="dxa" w:w="722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The business requirements, the checker checklist and the portal access runbook</w:t>
            </w:r>
          </w:p>
        </w:tc>
      </w:tr>
      <w:tr>
        <w:trPr>
          <w:cantSplit/>
        </w:trPr>
        <w:tc>
          <w:tcPr>
            <w:tcW w:type="dxa" w:w="2410"/>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rFonts w:ascii="Consolas" w:cs="Consolas" w:eastAsia="Consolas" w:hAnsi="Consolas"/>
                <w:sz w:val="17"/>
                <w:szCs w:val="17"/>
              </w:rPr>
              <w:t xml:space="preserve">knowledge/</w:t>
            </w:r>
          </w:p>
        </w:tc>
        <w:tc>
          <w:tcPr>
            <w:tcW w:type="dxa" w:w="7228"/>
            <w:tcBorders>
              <w:top w:val="single" w:color="C9D5D5" w:sz="4"/>
              <w:left w:val="single" w:color="C9D5D5" w:sz="4"/>
              <w:bottom w:val="single" w:color="C9D5D5" w:sz="4"/>
              <w:right w:val="single" w:color="C9D5D5" w:sz="4"/>
            </w:tcBorders>
            <w:tcMar>
              <w:top w:type="dxa" w:w="60"/>
              <w:left w:type="dxa" w:w="100"/>
              <w:bottom w:type="dxa" w:w="60"/>
              <w:right w:type="dxa" w:w="100"/>
            </w:tcMar>
          </w:tcPr>
          <w:p>
            <w:r>
              <w:rPr>
                <w:sz w:val="19"/>
                <w:szCs w:val="19"/>
              </w:rPr>
              <w:t xml:space="preserve">Domain context, requirements index and the full decision log</w:t>
            </w:r>
          </w:p>
        </w:tc>
      </w:tr>
    </w:tbl>
    <w:p>
      <w:pPr>
        <w:spacing w:after="12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F6B6B"/>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F6B6B"/>
        <w:sz w:val="16"/>
        <w:szCs w:val="16"/>
      </w:rPr>
      <w:t xml:space="preserve">Outcome Testing - Solution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0A3535"/>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B5257"/>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0A3535"/>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d33a9178f2577b661e9b5760181332974018519.png"/><Relationship Id="rId10" Type="http://schemas.openxmlformats.org/officeDocument/2006/relationships/image" Target="media/7d6af455d3255aee62ede08b35f1dd687a99174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Outcome Testing - Solution Guide</dc:title>
  <dc:creator>Simunye Radingwana</dc:creator>
  <cp:lastModifiedBy>Un-named</cp:lastModifiedBy>
  <cp:revision>1</cp:revision>
  <dcterms:created xsi:type="dcterms:W3CDTF">2026-10-02T10:26:24.179Z</dcterms:created>
  <dcterms:modified xsi:type="dcterms:W3CDTF">2026-10-02T10:26:24.180Z</dcterms:modified>
</cp:coreProperties>
</file>

<file path=docProps/custom.xml><?xml version="1.0" encoding="utf-8"?>
<Properties xmlns="http://schemas.openxmlformats.org/officeDocument/2006/custom-properties" xmlns:vt="http://schemas.openxmlformats.org/officeDocument/2006/docPropsVTypes"/>
</file>