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60"/>
        <w:jc w:val="center"/>
        <w:rPr/>
      </w:pPr>
      <w:r>
        <w:rPr>
          <w:rFonts w:eastAsia="Calibri" w:cs="Calibri"/>
          <w:b/>
          <w:bCs/>
          <w:color w:val="1F3864"/>
          <w:sz w:val="40"/>
          <w:szCs w:val="40"/>
        </w:rPr>
        <w:t>DUOC UC</w:t>
      </w:r>
    </w:p>
    <w:p>
      <w:pPr>
        <w:pStyle w:val="Normal"/>
        <w:spacing w:before="0" w:after="600"/>
        <w:jc w:val="center"/>
        <w:rPr/>
      </w:pPr>
      <w:r>
        <w:rPr>
          <w:rFonts w:eastAsia="Calibri" w:cs="Calibri"/>
          <w:sz w:val="26"/>
          <w:szCs w:val="26"/>
        </w:rPr>
        <w:t>Taller de Base de Datos</w:t>
      </w:r>
    </w:p>
    <w:p>
      <w:pPr>
        <w:pStyle w:val="Normal"/>
        <w:spacing w:before="0" w:after="200"/>
        <w:jc w:val="center"/>
        <w:rPr/>
      </w:pPr>
      <w:r>
        <w:rPr>
          <w:rFonts w:eastAsia="Calibri" w:cs="Calibri"/>
          <w:b/>
          <w:bCs/>
          <w:sz w:val="26"/>
          <w:szCs w:val="26"/>
        </w:rPr>
        <w:t>INFORME EVALUACIÓN PARCIAL 2 (EP2)</w:t>
      </w:r>
    </w:p>
    <w:p>
      <w:pPr>
        <w:pStyle w:val="Normal"/>
        <w:spacing w:before="0" w:after="200"/>
        <w:jc w:val="center"/>
        <w:rPr/>
      </w:pPr>
      <w:r>
        <w:rPr>
          <w:rFonts w:eastAsia="Calibri" w:cs="Calibri"/>
          <w:b/>
          <w:bCs/>
          <w:color w:val="1F3864"/>
          <w:sz w:val="40"/>
          <w:szCs w:val="40"/>
        </w:rPr>
        <w:t>Procedimientos, funciones, packages y triggers en Oracle PL/SQL</w:t>
      </w:r>
    </w:p>
    <w:p>
      <w:pPr>
        <w:pStyle w:val="Normal"/>
        <w:spacing w:before="0" w:after="700"/>
        <w:jc w:val="center"/>
        <w:rPr/>
      </w:pPr>
      <w:r>
        <w:rPr>
          <w:rFonts w:eastAsia="Calibri" w:cs="Calibri"/>
          <w:i/>
          <w:iCs/>
          <w:sz w:val="26"/>
          <w:szCs w:val="26"/>
        </w:rPr>
        <w:t>Proyecto TechMarket SpA – Sistema de fidelización de clientes</w:t>
      </w:r>
    </w:p>
    <w:p>
      <w:pPr>
        <w:pStyle w:val="Normal"/>
        <w:spacing w:before="0" w:after="80"/>
        <w:jc w:val="center"/>
        <w:rPr/>
      </w:pPr>
      <w:r>
        <w:rPr>
          <w:rFonts w:eastAsia="Calibri" w:cs="Calibri"/>
          <w:sz w:val="24"/>
          <w:szCs w:val="24"/>
        </w:rPr>
        <w:t>Asignatura: BDY1103 – Taller de Base de Datos</w:t>
      </w:r>
    </w:p>
    <w:p>
      <w:pPr>
        <w:pStyle w:val="Normal"/>
        <w:spacing w:before="0" w:after="300"/>
        <w:jc w:val="center"/>
        <w:rPr/>
      </w:pPr>
      <w:r>
        <w:rPr>
          <w:rFonts w:eastAsia="Calibri" w:cs="Calibri"/>
          <w:sz w:val="24"/>
          <w:szCs w:val="24"/>
        </w:rPr>
        <w:t>Profesor: Leonel Octavio Garay Burgos</w:t>
      </w:r>
    </w:p>
    <w:p>
      <w:pPr>
        <w:pStyle w:val="Normal"/>
        <w:spacing w:before="0" w:after="80"/>
        <w:jc w:val="center"/>
        <w:rPr/>
      </w:pPr>
      <w:r>
        <w:rPr>
          <w:rFonts w:eastAsia="Calibri" w:cs="Calibri"/>
          <w:b/>
          <w:bCs/>
          <w:sz w:val="24"/>
          <w:szCs w:val="24"/>
        </w:rPr>
        <w:t>Integrantes</w:t>
      </w:r>
    </w:p>
    <w:p>
      <w:pPr>
        <w:pStyle w:val="Normal"/>
        <w:spacing w:before="0" w:after="120"/>
        <w:jc w:val="center"/>
        <w:rPr/>
      </w:pPr>
      <w:r>
        <w:rPr>
          <w:rFonts w:eastAsia="Calibri" w:cs="Calibri"/>
          <w:sz w:val="24"/>
          <w:szCs w:val="24"/>
        </w:rPr>
        <w:t>Max Herrera</w:t>
      </w:r>
    </w:p>
    <w:p>
      <w:pPr>
        <w:pStyle w:val="Normal"/>
        <w:spacing w:before="0" w:after="120"/>
        <w:jc w:val="center"/>
        <w:rPr/>
      </w:pPr>
      <w:r>
        <w:rPr>
          <w:rFonts w:eastAsia="Calibri" w:cs="Calibri"/>
          <w:sz w:val="24"/>
          <w:szCs w:val="24"/>
        </w:rPr>
        <w:t>Danyer Cordova</w:t>
      </w:r>
    </w:p>
    <w:p>
      <w:pPr>
        <w:pStyle w:val="Normal"/>
        <w:spacing w:before="0" w:after="600"/>
        <w:jc w:val="center"/>
        <w:rPr/>
      </w:pPr>
      <w:r>
        <w:rPr>
          <w:rFonts w:eastAsia="Calibri" w:cs="Calibri"/>
          <w:sz w:val="24"/>
          <w:szCs w:val="24"/>
        </w:rPr>
        <w:t>Pablo Quintino</w:t>
      </w:r>
    </w:p>
    <w:p>
      <w:pPr>
        <w:pStyle w:val="Normal"/>
        <w:spacing w:before="0" w:after="120"/>
        <w:jc w:val="center"/>
        <w:rPr/>
        <w:sectPr>
          <w:type w:val="nextPage"/>
          <w:pgSz w:w="12240" w:h="15840"/>
          <w:pgMar w:left="1440" w:right="1440" w:gutter="0" w:header="0" w:top="1440" w:footer="0" w:bottom="1440"/>
          <w:pgNumType w:fmt="decimal"/>
          <w:formProt w:val="false"/>
          <w:textDirection w:val="lrTb"/>
          <w:docGrid w:type="default" w:linePitch="360" w:charSpace="4096"/>
        </w:sectPr>
      </w:pPr>
      <w:r>
        <w:rPr>
          <w:rFonts w:eastAsia="Calibri" w:cs="Calibri"/>
          <w:b/>
          <w:bCs/>
          <w:sz w:val="26"/>
          <w:szCs w:val="26"/>
        </w:rPr>
        <w:t>Octubre de 2026</w:t>
      </w:r>
    </w:p>
    <w:p>
      <w:pPr>
        <w:pStyle w:val="Normal"/>
        <w:spacing w:before="0" w:after="200"/>
        <w:rPr/>
      </w:pPr>
      <w:r>
        <w:rPr>
          <w:rFonts w:eastAsia="Calibri" w:cs="Calibri"/>
          <w:b/>
          <w:bCs/>
          <w:color w:val="1F3864"/>
          <w:sz w:val="32"/>
          <w:szCs w:val="32"/>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879_256807712">
            <w:r>
              <w:rPr>
                <w:rStyle w:val="IndexLink"/>
              </w:rPr>
              <w:t>1. Introducción</w:t>
              <w:tab/>
              <w:t>3</w:t>
            </w:r>
          </w:hyperlink>
        </w:p>
        <w:p>
          <w:pPr>
            <w:pStyle w:val="TOC2"/>
            <w:tabs>
              <w:tab w:val="clear" w:pos="9077"/>
              <w:tab w:val="right" w:pos="9359" w:leader="dot"/>
            </w:tabs>
            <w:rPr/>
          </w:pPr>
          <w:hyperlink w:anchor="__RefHeading___Toc2881_256807712">
            <w:r>
              <w:rPr>
                <w:rStyle w:val="IndexLink"/>
              </w:rPr>
              <w:t>1.1 Descripción</w:t>
              <w:tab/>
              <w:t>3</w:t>
            </w:r>
          </w:hyperlink>
        </w:p>
        <w:p>
          <w:pPr>
            <w:pStyle w:val="TOC2"/>
            <w:tabs>
              <w:tab w:val="clear" w:pos="9077"/>
              <w:tab w:val="right" w:pos="9359" w:leader="dot"/>
            </w:tabs>
            <w:rPr/>
          </w:pPr>
          <w:hyperlink w:anchor="__RefHeading___Toc2883_256807712">
            <w:r>
              <w:rPr>
                <w:rStyle w:val="IndexLink"/>
              </w:rPr>
              <w:t>1.2 Alcance</w:t>
              <w:tab/>
              <w:t>3</w:t>
            </w:r>
          </w:hyperlink>
        </w:p>
        <w:p>
          <w:pPr>
            <w:pStyle w:val="TOC2"/>
            <w:tabs>
              <w:tab w:val="clear" w:pos="9077"/>
              <w:tab w:val="right" w:pos="9359" w:leader="dot"/>
            </w:tabs>
            <w:rPr/>
          </w:pPr>
          <w:hyperlink w:anchor="__RefHeading___Toc2885_256807712">
            <w:r>
              <w:rPr>
                <w:rStyle w:val="IndexLink"/>
              </w:rPr>
              <w:t>1.3 Tecnologías utilizadas</w:t>
              <w:tab/>
              <w:t>3</w:t>
            </w:r>
          </w:hyperlink>
        </w:p>
        <w:p>
          <w:pPr>
            <w:pStyle w:val="TOC2"/>
            <w:tabs>
              <w:tab w:val="clear" w:pos="9077"/>
              <w:tab w:val="right" w:pos="9359" w:leader="dot"/>
            </w:tabs>
            <w:rPr/>
          </w:pPr>
          <w:hyperlink w:anchor="__RefHeading___Toc2887_256807712">
            <w:r>
              <w:rPr>
                <w:rStyle w:val="IndexLink"/>
              </w:rPr>
              <w:t>1.4 Contexto de negocio</w:t>
              <w:tab/>
              <w:t>4</w:t>
            </w:r>
          </w:hyperlink>
        </w:p>
        <w:p>
          <w:pPr>
            <w:pStyle w:val="TOC2"/>
            <w:tabs>
              <w:tab w:val="clear" w:pos="9077"/>
              <w:tab w:val="right" w:pos="9359" w:leader="dot"/>
            </w:tabs>
            <w:rPr/>
          </w:pPr>
          <w:hyperlink w:anchor="__RefHeading___Toc2889_256807712">
            <w:r>
              <w:rPr>
                <w:rStyle w:val="IndexLink"/>
              </w:rPr>
              <w:t>1.5 Datos a procesar e información a generar</w:t>
              <w:tab/>
              <w:t>4</w:t>
            </w:r>
          </w:hyperlink>
        </w:p>
        <w:p>
          <w:pPr>
            <w:pStyle w:val="TOC1"/>
            <w:tabs>
              <w:tab w:val="clear" w:pos="9360"/>
              <w:tab w:val="right" w:pos="9359" w:leader="dot"/>
            </w:tabs>
            <w:rPr/>
          </w:pPr>
          <w:hyperlink w:anchor="__RefHeading___Toc2891_256807712">
            <w:r>
              <w:rPr>
                <w:rStyle w:val="IndexLink"/>
              </w:rPr>
              <w:t>2. Desarrollo de procedimientos y funciones</w:t>
              <w:tab/>
              <w:t>6</w:t>
            </w:r>
          </w:hyperlink>
        </w:p>
        <w:p>
          <w:pPr>
            <w:pStyle w:val="TOC2"/>
            <w:tabs>
              <w:tab w:val="clear" w:pos="9077"/>
              <w:tab w:val="right" w:pos="9359" w:leader="dot"/>
            </w:tabs>
            <w:rPr/>
          </w:pPr>
          <w:hyperlink w:anchor="__RefHeading___Toc2893_256807712">
            <w:r>
              <w:rPr>
                <w:rStyle w:val="IndexLink"/>
              </w:rPr>
              <w:t>2.1 Definición</w:t>
              <w:tab/>
              <w:t>6</w:t>
            </w:r>
          </w:hyperlink>
        </w:p>
        <w:p>
          <w:pPr>
            <w:pStyle w:val="TOC2"/>
            <w:tabs>
              <w:tab w:val="clear" w:pos="9077"/>
              <w:tab w:val="right" w:pos="9359" w:leader="dot"/>
            </w:tabs>
            <w:rPr/>
          </w:pPr>
          <w:hyperlink w:anchor="__RefHeading___Toc2895_256807712">
            <w:r>
              <w:rPr>
                <w:rStyle w:val="IndexLink"/>
              </w:rPr>
              <w:t>2.2 Ventajas y desventajas</w:t>
              <w:tab/>
              <w:t>6</w:t>
            </w:r>
          </w:hyperlink>
        </w:p>
        <w:p>
          <w:pPr>
            <w:pStyle w:val="TOC2"/>
            <w:tabs>
              <w:tab w:val="clear" w:pos="9077"/>
              <w:tab w:val="right" w:pos="9359" w:leader="dot"/>
            </w:tabs>
            <w:rPr/>
          </w:pPr>
          <w:hyperlink w:anchor="__RefHeading___Toc2897_256807712">
            <w:r>
              <w:rPr>
                <w:rStyle w:val="IndexLink"/>
              </w:rPr>
              <w:t>2.3 Propósito dentro del proyecto</w:t>
              <w:tab/>
              <w:t>6</w:t>
            </w:r>
          </w:hyperlink>
        </w:p>
        <w:p>
          <w:pPr>
            <w:pStyle w:val="TOC2"/>
            <w:tabs>
              <w:tab w:val="clear" w:pos="9077"/>
              <w:tab w:val="right" w:pos="9359" w:leader="dot"/>
            </w:tabs>
            <w:rPr/>
          </w:pPr>
          <w:hyperlink w:anchor="__RefHeading___Toc2899_256807712">
            <w:r>
              <w:rPr>
                <w:rStyle w:val="IndexLink"/>
              </w:rPr>
              <w:t>2.4 Demostración de funciones</w:t>
              <w:tab/>
              <w:t>7</w:t>
            </w:r>
          </w:hyperlink>
        </w:p>
        <w:p>
          <w:pPr>
            <w:pStyle w:val="TOC2"/>
            <w:tabs>
              <w:tab w:val="clear" w:pos="9077"/>
              <w:tab w:val="right" w:pos="9359" w:leader="dot"/>
            </w:tabs>
            <w:rPr/>
          </w:pPr>
          <w:hyperlink w:anchor="__RefHeading___Toc2901_256807712">
            <w:r>
              <w:rPr>
                <w:rStyle w:val="IndexLink"/>
              </w:rPr>
              <w:t>2.5 Demostración de procedimientos</w:t>
              <w:tab/>
              <w:t>8</w:t>
            </w:r>
          </w:hyperlink>
        </w:p>
        <w:p>
          <w:pPr>
            <w:pStyle w:val="TOC2"/>
            <w:tabs>
              <w:tab w:val="clear" w:pos="9077"/>
              <w:tab w:val="right" w:pos="9359" w:leader="dot"/>
            </w:tabs>
            <w:rPr/>
          </w:pPr>
          <w:hyperlink w:anchor="__RefHeading___Toc2903_256807712">
            <w:r>
              <w:rPr>
                <w:rStyle w:val="IndexLink"/>
              </w:rPr>
              <w:t>2.6 Procesamiento masivo</w:t>
              <w:tab/>
              <w:t>9</w:t>
            </w:r>
          </w:hyperlink>
        </w:p>
        <w:p>
          <w:pPr>
            <w:pStyle w:val="TOC2"/>
            <w:tabs>
              <w:tab w:val="clear" w:pos="9077"/>
              <w:tab w:val="right" w:pos="9359" w:leader="dot"/>
            </w:tabs>
            <w:rPr/>
          </w:pPr>
          <w:hyperlink w:anchor="__RefHeading___Toc2905_256807712">
            <w:r>
              <w:rPr>
                <w:rStyle w:val="IndexLink"/>
              </w:rPr>
              <w:t>2.7 Verificación de los objetos creados</w:t>
              <w:tab/>
              <w:t>10</w:t>
            </w:r>
          </w:hyperlink>
        </w:p>
        <w:p>
          <w:pPr>
            <w:pStyle w:val="TOC1"/>
            <w:tabs>
              <w:tab w:val="clear" w:pos="9360"/>
              <w:tab w:val="right" w:pos="9359" w:leader="dot"/>
            </w:tabs>
            <w:rPr/>
          </w:pPr>
          <w:hyperlink w:anchor="__RefHeading___Toc2907_256807712">
            <w:r>
              <w:rPr>
                <w:rStyle w:val="IndexLink"/>
              </w:rPr>
              <w:t>3. Desarrollo de packages</w:t>
              <w:tab/>
              <w:t>12</w:t>
            </w:r>
          </w:hyperlink>
        </w:p>
        <w:p>
          <w:pPr>
            <w:pStyle w:val="TOC2"/>
            <w:tabs>
              <w:tab w:val="clear" w:pos="9077"/>
              <w:tab w:val="right" w:pos="9359" w:leader="dot"/>
            </w:tabs>
            <w:rPr/>
          </w:pPr>
          <w:hyperlink w:anchor="__RefHeading___Toc2909_256807712">
            <w:r>
              <w:rPr>
                <w:rStyle w:val="IndexLink"/>
              </w:rPr>
              <w:t>3.1 Definición</w:t>
              <w:tab/>
              <w:t>12</w:t>
            </w:r>
          </w:hyperlink>
        </w:p>
        <w:p>
          <w:pPr>
            <w:pStyle w:val="TOC2"/>
            <w:tabs>
              <w:tab w:val="clear" w:pos="9077"/>
              <w:tab w:val="right" w:pos="9359" w:leader="dot"/>
            </w:tabs>
            <w:rPr/>
          </w:pPr>
          <w:hyperlink w:anchor="__RefHeading___Toc2911_256807712">
            <w:r>
              <w:rPr>
                <w:rStyle w:val="IndexLink"/>
              </w:rPr>
              <w:t>3.2 Ventajas y desventajas</w:t>
              <w:tab/>
              <w:t>12</w:t>
            </w:r>
          </w:hyperlink>
        </w:p>
        <w:p>
          <w:pPr>
            <w:pStyle w:val="TOC2"/>
            <w:tabs>
              <w:tab w:val="clear" w:pos="9077"/>
              <w:tab w:val="right" w:pos="9359" w:leader="dot"/>
            </w:tabs>
            <w:rPr/>
          </w:pPr>
          <w:hyperlink w:anchor="__RefHeading___Toc2913_256807712">
            <w:r>
              <w:rPr>
                <w:rStyle w:val="IndexLink"/>
              </w:rPr>
              <w:t>3.3 Organización del código</w:t>
              <w:tab/>
              <w:t>12</w:t>
            </w:r>
          </w:hyperlink>
        </w:p>
        <w:p>
          <w:pPr>
            <w:pStyle w:val="TOC2"/>
            <w:tabs>
              <w:tab w:val="clear" w:pos="9077"/>
              <w:tab w:val="right" w:pos="9359" w:leader="dot"/>
            </w:tabs>
            <w:rPr/>
          </w:pPr>
          <w:hyperlink w:anchor="__RefHeading___Toc2915_256807712">
            <w:r>
              <w:rPr>
                <w:rStyle w:val="IndexLink"/>
              </w:rPr>
              <w:t>3.4 Relación con procedimientos y funciones</w:t>
              <w:tab/>
              <w:t>13</w:t>
            </w:r>
          </w:hyperlink>
        </w:p>
        <w:p>
          <w:pPr>
            <w:pStyle w:val="TOC2"/>
            <w:tabs>
              <w:tab w:val="clear" w:pos="9077"/>
              <w:tab w:val="right" w:pos="9359" w:leader="dot"/>
            </w:tabs>
            <w:rPr/>
          </w:pPr>
          <w:hyperlink w:anchor="__RefHeading___Toc2917_256807712">
            <w:r>
              <w:rPr>
                <w:rStyle w:val="IndexLink"/>
              </w:rPr>
              <w:t>3.5 Demostración de elementos públicos</w:t>
              <w:tab/>
              <w:t>13</w:t>
            </w:r>
          </w:hyperlink>
        </w:p>
        <w:p>
          <w:pPr>
            <w:pStyle w:val="TOC2"/>
            <w:tabs>
              <w:tab w:val="clear" w:pos="9077"/>
              <w:tab w:val="right" w:pos="9359" w:leader="dot"/>
            </w:tabs>
            <w:rPr/>
          </w:pPr>
          <w:hyperlink w:anchor="__RefHeading___Toc2919_256807712">
            <w:r>
              <w:rPr>
                <w:rStyle w:val="IndexLink"/>
              </w:rPr>
              <w:t>3.6 Demostración de elementos privados</w:t>
              <w:tab/>
              <w:t>13</w:t>
            </w:r>
          </w:hyperlink>
        </w:p>
        <w:p>
          <w:pPr>
            <w:pStyle w:val="TOC1"/>
            <w:tabs>
              <w:tab w:val="clear" w:pos="9360"/>
              <w:tab w:val="right" w:pos="9359" w:leader="dot"/>
            </w:tabs>
            <w:rPr/>
          </w:pPr>
          <w:hyperlink w:anchor="__RefHeading___Toc2921_256807712">
            <w:r>
              <w:rPr>
                <w:rStyle w:val="IndexLink"/>
              </w:rPr>
              <w:t>4. Desarrollo de triggers</w:t>
              <w:tab/>
              <w:t>14</w:t>
            </w:r>
          </w:hyperlink>
        </w:p>
        <w:p>
          <w:pPr>
            <w:pStyle w:val="TOC2"/>
            <w:tabs>
              <w:tab w:val="clear" w:pos="9077"/>
              <w:tab w:val="right" w:pos="9359" w:leader="dot"/>
            </w:tabs>
            <w:rPr/>
          </w:pPr>
          <w:hyperlink w:anchor="__RefHeading___Toc2923_256807712">
            <w:r>
              <w:rPr>
                <w:rStyle w:val="IndexLink"/>
              </w:rPr>
              <w:t>4.1 Definición</w:t>
              <w:tab/>
              <w:t>14</w:t>
            </w:r>
          </w:hyperlink>
        </w:p>
        <w:p>
          <w:pPr>
            <w:pStyle w:val="TOC2"/>
            <w:tabs>
              <w:tab w:val="clear" w:pos="9077"/>
              <w:tab w:val="right" w:pos="9359" w:leader="dot"/>
            </w:tabs>
            <w:rPr/>
          </w:pPr>
          <w:hyperlink w:anchor="__RefHeading___Toc2925_256807712">
            <w:r>
              <w:rPr>
                <w:rStyle w:val="IndexLink"/>
              </w:rPr>
              <w:t>4.2 Ventajas y desventajas</w:t>
              <w:tab/>
              <w:t>14</w:t>
            </w:r>
          </w:hyperlink>
        </w:p>
        <w:p>
          <w:pPr>
            <w:pStyle w:val="TOC2"/>
            <w:tabs>
              <w:tab w:val="clear" w:pos="9077"/>
              <w:tab w:val="right" w:pos="9359" w:leader="dot"/>
            </w:tabs>
            <w:rPr/>
          </w:pPr>
          <w:hyperlink w:anchor="__RefHeading___Toc2927_256807712">
            <w:r>
              <w:rPr>
                <w:rStyle w:val="IndexLink"/>
              </w:rPr>
              <w:t>4.3 Propósito dentro del proyecto</w:t>
              <w:tab/>
              <w:t>14</w:t>
            </w:r>
          </w:hyperlink>
        </w:p>
        <w:p>
          <w:pPr>
            <w:pStyle w:val="TOC2"/>
            <w:tabs>
              <w:tab w:val="clear" w:pos="9077"/>
              <w:tab w:val="right" w:pos="9359" w:leader="dot"/>
            </w:tabs>
            <w:rPr/>
          </w:pPr>
          <w:hyperlink w:anchor="__RefHeading___Toc2929_256807712">
            <w:r>
              <w:rPr>
                <w:rStyle w:val="IndexLink"/>
              </w:rPr>
              <w:t>4.4 Diseño del compound trigger</w:t>
              <w:tab/>
              <w:t>14</w:t>
            </w:r>
          </w:hyperlink>
        </w:p>
        <w:p>
          <w:pPr>
            <w:pStyle w:val="TOC2"/>
            <w:tabs>
              <w:tab w:val="clear" w:pos="9077"/>
              <w:tab w:val="right" w:pos="9359" w:leader="dot"/>
            </w:tabs>
            <w:rPr/>
          </w:pPr>
          <w:hyperlink w:anchor="__RefHeading___Toc2931_256807712">
            <w:r>
              <w:rPr>
                <w:rStyle w:val="IndexLink"/>
              </w:rPr>
              <w:t>4.5 Demostración a nivel de sentencia y de fila</w:t>
              <w:tab/>
              <w:t>15</w:t>
            </w:r>
          </w:hyperlink>
        </w:p>
        <w:p>
          <w:pPr>
            <w:pStyle w:val="TOC2"/>
            <w:tabs>
              <w:tab w:val="clear" w:pos="9077"/>
              <w:tab w:val="right" w:pos="9359" w:leader="dot"/>
            </w:tabs>
            <w:rPr/>
          </w:pPr>
          <w:hyperlink w:anchor="__RefHeading___Toc2933_256807712">
            <w:r>
              <w:rPr>
                <w:rStyle w:val="IndexLink"/>
              </w:rPr>
              <w:t>4.6 Manejo de excepciones asociado</w:t>
              <w:tab/>
              <w:t>16</w:t>
            </w:r>
          </w:hyperlink>
        </w:p>
        <w:p>
          <w:pPr>
            <w:pStyle w:val="TOC2"/>
            <w:tabs>
              <w:tab w:val="clear" w:pos="9077"/>
              <w:tab w:val="right" w:pos="9359" w:leader="dot"/>
            </w:tabs>
            <w:rPr/>
          </w:pPr>
          <w:hyperlink w:anchor="__RefHeading___Toc2935_256807712">
            <w:r>
              <w:rPr>
                <w:rStyle w:val="IndexLink"/>
              </w:rPr>
              <w:t>4.7 Integración de todos los objetos</w:t>
              <w:tab/>
              <w:t>16</w:t>
            </w:r>
          </w:hyperlink>
        </w:p>
        <w:p>
          <w:pPr>
            <w:pStyle w:val="TOC1"/>
            <w:tabs>
              <w:tab w:val="clear" w:pos="9360"/>
              <w:tab w:val="right" w:pos="9359" w:leader="dot"/>
            </w:tabs>
            <w:rPr/>
          </w:pPr>
          <w:hyperlink w:anchor="__RefHeading___Toc2937_256807712">
            <w:r>
              <w:rPr>
                <w:rStyle w:val="IndexLink"/>
              </w:rPr>
              <w:t>5. Conclusión</w:t>
              <w:tab/>
              <w:t>18</w:t>
            </w:r>
          </w:hyperlink>
        </w:p>
        <w:p>
          <w:pPr>
            <w:pStyle w:val="TOC2"/>
            <w:tabs>
              <w:tab w:val="clear" w:pos="9077"/>
              <w:tab w:val="right" w:pos="9359" w:leader="dot"/>
            </w:tabs>
            <w:rPr/>
          </w:pPr>
          <w:hyperlink w:anchor="__RefHeading___Toc2939_256807712">
            <w:r>
              <w:rPr>
                <w:rStyle w:val="IndexLink"/>
              </w:rPr>
              <w:t>5.1 Resumen</w:t>
              <w:tab/>
              <w:t>18</w:t>
            </w:r>
          </w:hyperlink>
        </w:p>
        <w:p>
          <w:pPr>
            <w:pStyle w:val="TOC2"/>
            <w:tabs>
              <w:tab w:val="clear" w:pos="9077"/>
              <w:tab w:val="right" w:pos="9359" w:leader="dot"/>
            </w:tabs>
            <w:rPr/>
          </w:pPr>
          <w:hyperlink w:anchor="__RefHeading___Toc2941_256807712">
            <w:r>
              <w:rPr>
                <w:rStyle w:val="IndexLink"/>
              </w:rPr>
              <w:t>5.2 Impacto</w:t>
              <w:tab/>
              <w:t>18</w:t>
            </w:r>
          </w:hyperlink>
        </w:p>
        <w:p>
          <w:pPr>
            <w:pStyle w:val="TOC2"/>
            <w:tabs>
              <w:tab w:val="clear" w:pos="9077"/>
              <w:tab w:val="right" w:pos="9359" w:leader="dot"/>
            </w:tabs>
            <w:rPr/>
          </w:pPr>
          <w:hyperlink w:anchor="__RefHeading___Toc2943_256807712">
            <w:r>
              <w:rPr>
                <w:rStyle w:val="IndexLink"/>
              </w:rPr>
              <w:t>5.3 Recomendaciones</w:t>
              <w:tab/>
              <w:t>18</w:t>
            </w:r>
          </w:hyperlink>
        </w:p>
        <w:p>
          <w:pPr>
            <w:pStyle w:val="TOC1"/>
            <w:tabs>
              <w:tab w:val="clear" w:pos="9360"/>
              <w:tab w:val="right" w:pos="9359" w:leader="dot"/>
            </w:tabs>
            <w:rPr/>
          </w:pPr>
          <w:hyperlink w:anchor="__RefHeading___Toc2945_256807712">
            <w:r>
              <w:rPr>
                <w:rStyle w:val="IndexLink"/>
              </w:rPr>
              <w:t>Anexo A: Código completo del script EP2 (script_EP2_completo.sql)</w:t>
              <w:tab/>
              <w:t>19</w:t>
            </w:r>
          </w:hyperlink>
        </w:p>
        <w:p>
          <w:pPr>
            <w:pStyle w:val="TOC1"/>
            <w:tabs>
              <w:tab w:val="clear" w:pos="9360"/>
              <w:tab w:val="right" w:pos="9359" w:leader="dot"/>
            </w:tabs>
            <w:rPr/>
          </w:pPr>
          <w:hyperlink w:anchor="__RefHeading___Toc2947_256807712">
            <w:r>
              <w:rPr>
                <w:rStyle w:val="IndexLink"/>
              </w:rPr>
              <w:t>Anexo B: Script de pruebas y evidencias (test_EP2_evidencias.sql)</w:t>
              <w:tab/>
              <w:t>26</w:t>
            </w:r>
          </w:hyperlink>
        </w:p>
        <w:p>
          <w:pPr>
            <w:pStyle w:val="TOC1"/>
            <w:tabs>
              <w:tab w:val="clear" w:pos="9360"/>
              <w:tab w:val="right" w:pos="9359" w:leader="dot"/>
            </w:tabs>
            <w:rPr/>
          </w:pPr>
          <w:hyperlink w:anchor="__RefHeading___Toc2949_256807712">
            <w:r>
              <w:rPr>
                <w:rStyle w:val="IndexLink"/>
              </w:rPr>
              <w:t>Anexo C: Script maestro EP1 (script_maestro.sql)</w:t>
              <w:tab/>
              <w:t>31</w:t>
            </w:r>
          </w:hyperlink>
        </w:p>
        <w:p>
          <w:pPr>
            <w:pStyle w:val="TOC1"/>
            <w:tabs>
              <w:tab w:val="clear" w:pos="9360"/>
              <w:tab w:val="right" w:pos="9359" w:leader="dot"/>
            </w:tabs>
            <w:rPr/>
          </w:pPr>
          <w:hyperlink w:anchor="__RefHeading___Toc2951_256807712">
            <w:r>
              <w:rPr>
                <w:rStyle w:val="IndexLink"/>
              </w:rPr>
              <w:t>Anexo D: Diagramas</w:t>
              <w:tab/>
              <w:t>52</w:t>
            </w:r>
          </w:hyperlink>
          <w:r>
            <w:rPr>
              <w:rStyle w:val="IndexLink"/>
            </w:rPr>
            <w:fldChar w:fldCharType="end"/>
          </w:r>
        </w:p>
      </w:sdtContent>
    </w:sdt>
    <w:p>
      <w:pPr>
        <w:pStyle w:val="Normal"/>
        <w:rPr/>
      </w:pPr>
      <w:r>
        <w:rPr/>
      </w:r>
      <w:r>
        <w:br w:type="page"/>
      </w:r>
    </w:p>
    <w:p>
      <w:pPr>
        <w:pStyle w:val="Heading1"/>
        <w:spacing w:before="240" w:after="160"/>
        <w:rPr/>
      </w:pPr>
      <w:bookmarkStart w:id="0" w:name="__RefHeading___Toc2879_256807712"/>
      <w:bookmarkEnd w:id="0"/>
      <w:r>
        <w:rPr>
          <w:rFonts w:eastAsia="Calibri" w:cs="Calibri" w:ascii="Calibri" w:hAnsi="Calibri"/>
          <w:b/>
          <w:bCs/>
          <w:color w:val="1F3864"/>
          <w:sz w:val="32"/>
          <w:szCs w:val="32"/>
        </w:rPr>
        <w:t>1. Introducción</w:t>
      </w:r>
    </w:p>
    <w:p>
      <w:pPr>
        <w:pStyle w:val="Normal"/>
        <w:spacing w:before="0" w:after="140"/>
        <w:rPr/>
      </w:pPr>
      <w:r>
        <w:rPr>
          <w:rFonts w:eastAsia="Calibri" w:cs="Calibri"/>
          <w:i/>
          <w:iCs/>
          <w:color w:val="595959"/>
          <w:sz w:val="20"/>
          <w:szCs w:val="20"/>
        </w:rPr>
        <w:t>Desarrollado por: Max Herrera</w:t>
      </w:r>
    </w:p>
    <w:p>
      <w:pPr>
        <w:pStyle w:val="Heading2"/>
        <w:keepNext w:val="true"/>
        <w:spacing w:before="240" w:after="120"/>
        <w:rPr/>
      </w:pPr>
      <w:bookmarkStart w:id="1" w:name="__RefHeading___Toc2881_256807712"/>
      <w:bookmarkEnd w:id="1"/>
      <w:r>
        <w:rPr>
          <w:rFonts w:eastAsia="Calibri" w:cs="Calibri" w:ascii="Calibri" w:hAnsi="Calibri"/>
          <w:b/>
          <w:bCs/>
          <w:color w:val="1F3864"/>
          <w:sz w:val="26"/>
          <w:szCs w:val="26"/>
        </w:rPr>
        <w:t>1.1 Descripción</w:t>
      </w:r>
    </w:p>
    <w:p>
      <w:pPr>
        <w:pStyle w:val="Normal"/>
        <w:spacing w:lineRule="exact" w:line="276" w:before="0" w:after="120"/>
        <w:jc w:val="both"/>
        <w:rPr/>
      </w:pPr>
      <w:r>
        <w:rPr>
          <w:rFonts w:eastAsia="Calibri" w:cs="Calibri"/>
          <w:sz w:val="22"/>
          <w:szCs w:val="22"/>
        </w:rPr>
        <w:t>Este informe documenta la segunda etapa del sistema de fidelización de TechMarket SpA. En la primera evaluación (EP1) se construyó la base de datos, la lógica de categorías y un procesamiento de beneficios con RECORD, VARRAY, cursores, excepciones y un trigger de auditoría. En esta etapa esa base se amplía con subprogramas almacenados reutilizables (funciones y procedimientos), un package que separa lo público de lo privado y un conjunto de triggers que auditan los cambios sobre la bitácora de beneficios.</w:t>
      </w:r>
    </w:p>
    <w:p>
      <w:pPr>
        <w:pStyle w:val="Normal"/>
        <w:spacing w:lineRule="exact" w:line="276" w:before="0" w:after="120"/>
        <w:jc w:val="both"/>
        <w:rPr/>
      </w:pPr>
      <w:r>
        <w:rPr>
          <w:rFonts w:eastAsia="Calibri" w:cs="Calibri"/>
          <w:sz w:val="22"/>
          <w:szCs w:val="22"/>
        </w:rPr>
        <w:t>Cada objeto se explica desde su teoría, se justifica dentro del proyecto y se demuestra con capturas tomadas en Oracle SQL Developer. El código completo y los diagramas están en los anexos.</w:t>
      </w:r>
    </w:p>
    <w:p>
      <w:pPr>
        <w:pStyle w:val="Heading2"/>
        <w:keepNext w:val="true"/>
        <w:spacing w:before="240" w:after="120"/>
        <w:rPr/>
      </w:pPr>
      <w:bookmarkStart w:id="2" w:name="__RefHeading___Toc2883_256807712"/>
      <w:bookmarkEnd w:id="2"/>
      <w:r>
        <w:rPr>
          <w:rFonts w:eastAsia="Calibri" w:cs="Calibri" w:ascii="Calibri" w:hAnsi="Calibri"/>
          <w:b/>
          <w:bCs/>
          <w:color w:val="1F3864"/>
          <w:sz w:val="26"/>
          <w:szCs w:val="26"/>
        </w:rPr>
        <w:t>1.2 Alcance</w:t>
      </w:r>
    </w:p>
    <w:p>
      <w:pPr>
        <w:pStyle w:val="Normal"/>
        <w:spacing w:lineRule="exact" w:line="276" w:before="0" w:after="120"/>
        <w:jc w:val="both"/>
        <w:rPr/>
      </w:pPr>
      <w:r>
        <w:rPr>
          <w:rFonts w:eastAsia="Calibri" w:cs="Calibri"/>
          <w:sz w:val="22"/>
          <w:szCs w:val="22"/>
        </w:rPr>
        <w:t>El trabajo cubre cuatro tipos de objetos, todos creados sobre el modelo de datos de EP1 sin modificar tablas ni datos:</w:t>
      </w:r>
    </w:p>
    <w:p>
      <w:pPr>
        <w:pStyle w:val="ListParagraph"/>
        <w:numPr>
          <w:ilvl w:val="0"/>
          <w:numId w:val="3"/>
        </w:numPr>
        <w:spacing w:lineRule="exact" w:line="268" w:before="0" w:after="60"/>
        <w:jc w:val="left"/>
        <w:rPr/>
      </w:pPr>
      <w:r>
        <w:rPr>
          <w:rFonts w:eastAsia="Calibri" w:cs="Calibri"/>
          <w:b/>
          <w:bCs/>
          <w:sz w:val="22"/>
          <w:szCs w:val="22"/>
        </w:rPr>
        <w:t>Funciones:</w:t>
      </w:r>
      <w:r>
        <w:rPr>
          <w:rFonts w:eastAsia="Calibri" w:cs="Calibri"/>
          <w:sz w:val="22"/>
          <w:szCs w:val="22"/>
        </w:rPr>
        <w:t xml:space="preserve"> tres funciones nuevas, dos sin parámetros y una con cuatro parámetros, usables en SELECT y en bloques PL/SQL.</w:t>
      </w:r>
    </w:p>
    <w:p>
      <w:pPr>
        <w:pStyle w:val="ListParagraph"/>
        <w:numPr>
          <w:ilvl w:val="0"/>
          <w:numId w:val="1"/>
        </w:numPr>
        <w:spacing w:lineRule="exact" w:line="268" w:before="0" w:after="60"/>
        <w:jc w:val="left"/>
        <w:rPr/>
      </w:pPr>
      <w:r>
        <w:rPr>
          <w:rFonts w:eastAsia="Calibri" w:cs="Calibri"/>
          <w:b/>
          <w:bCs/>
          <w:sz w:val="22"/>
          <w:szCs w:val="22"/>
        </w:rPr>
        <w:t>Procedimientos:</w:t>
      </w:r>
      <w:r>
        <w:rPr>
          <w:rFonts w:eastAsia="Calibri" w:cs="Calibri"/>
          <w:sz w:val="22"/>
          <w:szCs w:val="22"/>
        </w:rPr>
        <w:t xml:space="preserve"> tres procedimientos nuevos (sin parámetros, con parámetros IN/OUT y uno de procesamiento masivo).</w:t>
      </w:r>
    </w:p>
    <w:p>
      <w:pPr>
        <w:pStyle w:val="ListParagraph"/>
        <w:numPr>
          <w:ilvl w:val="0"/>
          <w:numId w:val="1"/>
        </w:numPr>
        <w:spacing w:lineRule="exact" w:line="268" w:before="0" w:after="60"/>
        <w:jc w:val="left"/>
        <w:rPr/>
      </w:pPr>
      <w:r>
        <w:rPr>
          <w:rFonts w:eastAsia="Calibri" w:cs="Calibri"/>
          <w:b/>
          <w:bCs/>
          <w:sz w:val="22"/>
          <w:szCs w:val="22"/>
        </w:rPr>
        <w:t>Package:</w:t>
      </w:r>
      <w:r>
        <w:rPr>
          <w:rFonts w:eastAsia="Calibri" w:cs="Calibri"/>
          <w:sz w:val="22"/>
          <w:szCs w:val="22"/>
        </w:rPr>
        <w:t xml:space="preserve"> </w:t>
      </w:r>
      <w:r>
        <w:rPr>
          <w:rFonts w:eastAsia="Courier New" w:cs="Courier New" w:ascii="Courier New" w:hAnsi="Courier New"/>
          <w:color w:val="7A1F1F"/>
          <w:sz w:val="20"/>
          <w:szCs w:val="20"/>
        </w:rPr>
        <w:t>techmarket_beneficios</w:t>
      </w:r>
      <w:r>
        <w:rPr>
          <w:rFonts w:eastAsia="Calibri" w:cs="Calibri"/>
          <w:sz w:val="22"/>
          <w:szCs w:val="22"/>
        </w:rPr>
        <w:t>, con elementos públicos (constantes, excepción, funciones y procedimientos) y privados (un formateador de montos y un validador de período).</w:t>
      </w:r>
    </w:p>
    <w:p>
      <w:pPr>
        <w:pStyle w:val="ListParagraph"/>
        <w:numPr>
          <w:ilvl w:val="0"/>
          <w:numId w:val="1"/>
        </w:numPr>
        <w:spacing w:lineRule="exact" w:line="268" w:before="0" w:after="60"/>
        <w:jc w:val="left"/>
        <w:rPr/>
      </w:pPr>
      <w:r>
        <w:rPr>
          <w:rFonts w:eastAsia="Calibri" w:cs="Calibri"/>
          <w:b/>
          <w:bCs/>
          <w:sz w:val="22"/>
          <w:szCs w:val="22"/>
        </w:rPr>
        <w:t>Triggers:</w:t>
      </w:r>
      <w:r>
        <w:rPr>
          <w:rFonts w:eastAsia="Calibri" w:cs="Calibri"/>
          <w:sz w:val="22"/>
          <w:szCs w:val="22"/>
        </w:rPr>
        <w:t xml:space="preserve"> un compound trigger de auditoría (sentencia y fila) y un trigger de sentencia para borrados masivos.</w:t>
      </w:r>
    </w:p>
    <w:p>
      <w:pPr>
        <w:pStyle w:val="Normal"/>
        <w:spacing w:lineRule="exact" w:line="276" w:before="0" w:after="120"/>
        <w:jc w:val="both"/>
        <w:rPr/>
      </w:pPr>
      <w:r>
        <w:rPr>
          <w:rFonts w:eastAsia="Calibri" w:cs="Calibri"/>
          <w:sz w:val="22"/>
          <w:szCs w:val="22"/>
        </w:rPr>
        <w:t>Quedan fuera del alcance una interfaz de usuario, la carga automática de ventas y cualquier cambio en las reglas de negocio. Los resultados se calculan para el período agosto de 2026 (1 al 31 de agosto).</w:t>
      </w:r>
    </w:p>
    <w:p>
      <w:pPr>
        <w:pStyle w:val="Heading2"/>
        <w:keepNext w:val="true"/>
        <w:spacing w:before="240" w:after="120"/>
        <w:rPr/>
      </w:pPr>
      <w:bookmarkStart w:id="3" w:name="__RefHeading___Toc2885_256807712"/>
      <w:bookmarkEnd w:id="3"/>
      <w:r>
        <w:rPr>
          <w:rFonts w:eastAsia="Calibri" w:cs="Calibri" w:ascii="Calibri" w:hAnsi="Calibri"/>
          <w:b/>
          <w:bCs/>
          <w:color w:val="1F3864"/>
          <w:sz w:val="26"/>
          <w:szCs w:val="26"/>
        </w:rPr>
        <w:t>1.3 Tecnologías utilizadas</w:t>
      </w:r>
    </w:p>
    <w:tbl>
      <w:tblPr>
        <w:tblW w:w="9360" w:type="dxa"/>
        <w:jc w:val="left"/>
        <w:tblInd w:w="0" w:type="dxa"/>
        <w:tblLayout w:type="fixed"/>
        <w:tblCellMar>
          <w:top w:w="60" w:type="dxa"/>
          <w:left w:w="100" w:type="dxa"/>
          <w:bottom w:w="60" w:type="dxa"/>
          <w:right w:w="100" w:type="dxa"/>
        </w:tblCellMar>
      </w:tblPr>
      <w:tblGrid>
        <w:gridCol w:w="2600"/>
        <w:gridCol w:w="6759"/>
      </w:tblGrid>
      <w:tr>
        <w:trPr>
          <w:tblHeader w:val="true"/>
        </w:trPr>
        <w:tc>
          <w:tcPr>
            <w:tcW w:w="26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Tecnología</w:t>
            </w:r>
          </w:p>
        </w:tc>
        <w:tc>
          <w:tcPr>
            <w:tcW w:w="67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Uso en el proyecto</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Oracle Database</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Motor de base de datos donde residen tablas, secuencias de identidad y objetos PL/SQL.</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SQL y PL/SQL</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Lenguaje de consultas y lenguaje procedural para funciones, procedimientos, packages y triggers.</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Oracle SQL Developer</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Entorno de ejecución de scripts y de captura de evidencias (conexión con usuario SYSTEM).</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DBMS_OUTPUT</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Salida de mensajes para mostrar en las capturas el orden de ejecución de los triggers y procedimientos.</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Microsoft Word</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Elaboración de este informe.</w:t>
            </w:r>
          </w:p>
        </w:tc>
      </w:tr>
    </w:tbl>
    <w:p>
      <w:pPr>
        <w:pStyle w:val="Normal"/>
        <w:spacing w:before="0" w:after="120"/>
        <w:rPr/>
      </w:pPr>
      <w:r>
        <w:rPr/>
      </w:r>
    </w:p>
    <w:p>
      <w:pPr>
        <w:pStyle w:val="Heading2"/>
        <w:keepNext w:val="true"/>
        <w:spacing w:before="240" w:after="120"/>
        <w:rPr/>
      </w:pPr>
      <w:bookmarkStart w:id="4" w:name="__RefHeading___Toc2887_256807712"/>
      <w:bookmarkEnd w:id="4"/>
      <w:r>
        <w:rPr>
          <w:rFonts w:eastAsia="Calibri" w:cs="Calibri" w:ascii="Calibri" w:hAnsi="Calibri"/>
          <w:b/>
          <w:bCs/>
          <w:color w:val="1F3864"/>
          <w:sz w:val="26"/>
          <w:szCs w:val="26"/>
        </w:rPr>
        <w:t>1.4 Contexto de negocio</w:t>
      </w:r>
    </w:p>
    <w:p>
      <w:pPr>
        <w:pStyle w:val="Normal"/>
        <w:spacing w:lineRule="exact" w:line="276" w:before="0" w:after="120"/>
        <w:jc w:val="both"/>
        <w:rPr/>
      </w:pPr>
      <w:r>
        <w:rPr>
          <w:rFonts w:eastAsia="Calibri" w:cs="Calibri"/>
          <w:sz w:val="22"/>
          <w:szCs w:val="22"/>
        </w:rPr>
        <w:t>TechMarket SpA vende productos tecnológicos en tres sucursales: Antonio Varas (10, Providencia), Plaza Oeste (20, Cerrillos) y Viña Centro (30, Viña del Mar). Para fidelizar a sus clientes, la empresa clasifica a cada uno según lo que compra en un período y le asigna un porcentaje de beneficio. La regla se resume así:</w:t>
      </w:r>
    </w:p>
    <w:tbl>
      <w:tblPr>
        <w:tblW w:w="9360" w:type="dxa"/>
        <w:jc w:val="left"/>
        <w:tblInd w:w="0" w:type="dxa"/>
        <w:tblLayout w:type="fixed"/>
        <w:tblCellMar>
          <w:top w:w="60" w:type="dxa"/>
          <w:left w:w="100" w:type="dxa"/>
          <w:bottom w:w="60" w:type="dxa"/>
          <w:right w:w="100" w:type="dxa"/>
        </w:tblCellMar>
      </w:tblPr>
      <w:tblGrid>
        <w:gridCol w:w="2199"/>
        <w:gridCol w:w="3580"/>
        <w:gridCol w:w="3581"/>
      </w:tblGrid>
      <w:tr>
        <w:trPr>
          <w:tblHeader w:val="true"/>
        </w:trPr>
        <w:tc>
          <w:tcPr>
            <w:tcW w:w="21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Categoría</w:t>
            </w:r>
          </w:p>
        </w:tc>
        <w:tc>
          <w:tcPr>
            <w:tcW w:w="35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Total comprado en el período</w:t>
            </w:r>
          </w:p>
        </w:tc>
        <w:tc>
          <w:tcPr>
            <w:tcW w:w="358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Beneficio</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BRONZE</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menor a $300.000</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5%</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SILVER</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desde $300.000 y menor a $700.000</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10%</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GOLD</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desde $700.000 y menor a $1.500.000</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15%</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PLATINUM</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$1.500.000 o más</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20%</w:t>
            </w:r>
          </w:p>
        </w:tc>
      </w:tr>
    </w:tbl>
    <w:p>
      <w:pPr>
        <w:pStyle w:val="Normal"/>
        <w:spacing w:before="0" w:after="120"/>
        <w:rPr/>
      </w:pPr>
      <w:r>
        <w:rPr/>
      </w:r>
    </w:p>
    <w:p>
      <w:pPr>
        <w:pStyle w:val="Normal"/>
        <w:spacing w:lineRule="exact" w:line="276" w:before="0" w:after="120"/>
        <w:jc w:val="both"/>
        <w:rPr/>
      </w:pPr>
      <w:r>
        <w:rPr>
          <w:rFonts w:eastAsia="Calibri" w:cs="Calibri"/>
          <w:sz w:val="22"/>
          <w:szCs w:val="22"/>
        </w:rPr>
        <w:t>El problema que resuelve el sistema es doble: calcular esa categoría de forma consistente en todas las sucursales y dejar constancia de cada cálculo y de cada cambio posterior, de modo que se pueda saber quién modificó qué y cuándo.</w:t>
      </w:r>
    </w:p>
    <w:p>
      <w:pPr>
        <w:pStyle w:val="Heading2"/>
        <w:keepNext w:val="true"/>
        <w:spacing w:before="240" w:after="120"/>
        <w:rPr/>
      </w:pPr>
      <w:bookmarkStart w:id="5" w:name="__RefHeading___Toc2889_256807712"/>
      <w:bookmarkEnd w:id="5"/>
      <w:r>
        <w:rPr>
          <w:rFonts w:eastAsia="Calibri" w:cs="Calibri" w:ascii="Calibri" w:hAnsi="Calibri"/>
          <w:b/>
          <w:bCs/>
          <w:color w:val="1F3864"/>
          <w:sz w:val="26"/>
          <w:szCs w:val="26"/>
        </w:rPr>
        <w:t>1.5 Datos a procesar e información a generar</w:t>
      </w:r>
    </w:p>
    <w:p>
      <w:pPr>
        <w:pStyle w:val="Normal"/>
        <w:spacing w:lineRule="exact" w:line="276" w:before="0" w:after="120"/>
        <w:jc w:val="both"/>
        <w:rPr/>
      </w:pPr>
      <w:r>
        <w:rPr>
          <w:rFonts w:eastAsia="Calibri" w:cs="Calibri"/>
          <w:sz w:val="22"/>
          <w:szCs w:val="22"/>
        </w:rPr>
        <w:t>El modelo de datos (ver diagrama en el Anexo D, Figura 19) tiene siete tablas. Las cinco primeras son de origen operativo; las dos últimas almacenan el resultado del procesamiento.</w:t>
      </w:r>
    </w:p>
    <w:tbl>
      <w:tblPr>
        <w:tblW w:w="9360" w:type="dxa"/>
        <w:jc w:val="left"/>
        <w:tblInd w:w="0" w:type="dxa"/>
        <w:tblLayout w:type="fixed"/>
        <w:tblCellMar>
          <w:top w:w="60" w:type="dxa"/>
          <w:left w:w="100" w:type="dxa"/>
          <w:bottom w:w="60" w:type="dxa"/>
          <w:right w:w="100" w:type="dxa"/>
        </w:tblCellMar>
      </w:tblPr>
      <w:tblGrid>
        <w:gridCol w:w="2500"/>
        <w:gridCol w:w="6859"/>
      </w:tblGrid>
      <w:tr>
        <w:trPr>
          <w:tblHeader w:val="true"/>
        </w:trPr>
        <w:tc>
          <w:tcPr>
            <w:tcW w:w="25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Tabla</w:t>
            </w:r>
          </w:p>
        </w:tc>
        <w:tc>
          <w:tcPr>
            <w:tcW w:w="68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Contenido</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SUCURSAL</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3 sucursales (10, 20 y 30).</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CLIENTE</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5 clientes: 101 Ana Torres, 102 Pedro Díaz, 103 María Soto y 104 Carlos Rojas (ACTIVO) y 105 Sofía Pérez (INACTIVO).</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PRODUCTO / DETALLE_VENTA</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Catálogo de productos y líneas de cada venta.</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VENTA</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10 ventas: 9 en agosto de 2026 (7 en la sucursal 10 y 2 en la 20) y una en septiembre (5020, $39.990). Suman $4.389.640.</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BITACORA_BENEFICIOS</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Resultado del procesamiento: una fila por cliente, sucursal y período, con cantidad de compras, total, categoría y porcentaje.</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AUDITORIA_BENEFICIOS</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Historial generado por los triggers: operación, usuario, fecha y valores anteriores y nuevos.</w:t>
            </w:r>
          </w:p>
        </w:tc>
      </w:tr>
    </w:tbl>
    <w:p>
      <w:pPr>
        <w:pStyle w:val="Normal"/>
        <w:spacing w:before="0" w:after="120"/>
        <w:rPr/>
      </w:pPr>
      <w:r>
        <w:rPr/>
      </w:r>
    </w:p>
    <w:p>
      <w:pPr>
        <w:pStyle w:val="Normal"/>
        <w:spacing w:lineRule="exact" w:line="276" w:before="0" w:after="120"/>
        <w:jc w:val="both"/>
        <w:rPr/>
      </w:pPr>
      <w:r>
        <w:rPr>
          <w:rFonts w:eastAsia="Calibri" w:cs="Calibri"/>
          <w:sz w:val="22"/>
          <w:szCs w:val="22"/>
        </w:rPr>
        <w:t>La información que se genera es, por un lado, el cálculo de categoría y beneficio por cliente y sucursal; por otro, los resúmenes agregados por categoría y la auditoría de cada cambio sobre la bitácora.</w:t>
      </w:r>
    </w:p>
    <w:p>
      <w:pPr>
        <w:pStyle w:val="Heading3"/>
        <w:keepNext w:val="true"/>
        <w:spacing w:before="160" w:after="80"/>
        <w:rPr/>
      </w:pPr>
      <w:r>
        <w:rPr>
          <w:rFonts w:eastAsia="Calibri" w:cs="Calibri" w:ascii="Calibri" w:hAnsi="Calibri"/>
          <w:b/>
          <w:bCs/>
          <w:color w:val="2F5496"/>
          <w:sz w:val="23"/>
          <w:szCs w:val="23"/>
        </w:rPr>
        <w:t>Base heredada de EP1</w:t>
      </w:r>
    </w:p>
    <w:p>
      <w:pPr>
        <w:pStyle w:val="Normal"/>
        <w:spacing w:lineRule="exact" w:line="276" w:before="0" w:after="120"/>
        <w:jc w:val="both"/>
        <w:rPr/>
      </w:pPr>
      <w:r>
        <w:rPr>
          <w:rFonts w:eastAsia="Calibri" w:cs="Calibri"/>
          <w:sz w:val="22"/>
          <w:szCs w:val="22"/>
        </w:rPr>
        <w:t>Antes de ampliar el sistema se verificó que los bloques de EP1 siguieran funcionando. La Figura 1 muestra el bloque con RECORD y VARRAY para el cliente 101 (3 compras en la sucursal 10 más una en la 20, total de $1.449.940, categoría GOLD, 15%). La Figura 2 muestra el bloque de cursores parametrizados con lazo anidado: cada cliente de la sucursal 10 con el detalle de sus ventas, el total y su categoría.</w:t>
      </w:r>
    </w:p>
    <w:p>
      <w:pPr>
        <w:pStyle w:val="Normal"/>
        <w:keepNext w:val="true"/>
        <w:spacing w:before="120" w:after="0"/>
        <w:jc w:val="center"/>
        <w:rPr/>
      </w:pPr>
      <w:r>
        <w:rPr/>
        <w:drawing>
          <wp:inline distT="0" distB="0" distL="0" distR="0">
            <wp:extent cx="5334000" cy="3133725"/>
            <wp:effectExtent l="0" t="0" r="0" b="0"/>
            <wp:docPr id="1" name="C01" descr="C01&#10;Bloque EP1 con RECORD y VARRAY para el client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01" descr="C01&#10;Bloque EP1 con RECORD y VARRAY para el cliente 101."/>
                    <pic:cNvPicPr>
                      <a:picLocks noChangeAspect="1" noChangeArrowheads="1"/>
                    </pic:cNvPicPr>
                  </pic:nvPicPr>
                  <pic:blipFill>
                    <a:blip r:embed="rId2"/>
                    <a:stretch>
                      <a:fillRect/>
                    </a:stretch>
                  </pic:blipFill>
                  <pic:spPr bwMode="auto">
                    <a:xfrm>
                      <a:off x="0" y="0"/>
                      <a:ext cx="5334000" cy="3133725"/>
                    </a:xfrm>
                    <a:prstGeom prst="rect">
                      <a:avLst/>
                    </a:prstGeom>
                  </pic:spPr>
                </pic:pic>
              </a:graphicData>
            </a:graphic>
          </wp:inline>
        </w:drawing>
      </w:r>
    </w:p>
    <w:p>
      <w:pPr>
        <w:pStyle w:val="Normal"/>
        <w:spacing w:before="80" w:after="220"/>
        <w:jc w:val="center"/>
        <w:rPr/>
      </w:pPr>
      <w:r>
        <w:rPr>
          <w:rFonts w:eastAsia="Calibri" w:cs="Calibri"/>
          <w:i/>
          <w:iCs/>
          <w:sz w:val="19"/>
          <w:szCs w:val="19"/>
        </w:rPr>
        <w:t>Figura 1: Bloque EP1 con RECORD y VARRAY para el cliente 101.</w:t>
      </w:r>
    </w:p>
    <w:p>
      <w:pPr>
        <w:pStyle w:val="Normal"/>
        <w:keepNext w:val="true"/>
        <w:spacing w:before="120" w:after="0"/>
        <w:jc w:val="center"/>
        <w:rPr/>
      </w:pPr>
      <w:r>
        <w:rPr/>
        <w:drawing>
          <wp:inline distT="0" distB="0" distL="0" distR="0">
            <wp:extent cx="5334000" cy="2781300"/>
            <wp:effectExtent l="0" t="0" r="0" b="0"/>
            <wp:docPr id="2" name="C02" descr="C02&#10;Bloque EP1 con cursores parametrizados y lazo anidado (sucursal 10, agost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02" descr="C02&#10;Bloque EP1 con cursores parametrizados y lazo anidado (sucursal 10, agosto 2026)."/>
                    <pic:cNvPicPr>
                      <a:picLocks noChangeAspect="1" noChangeArrowheads="1"/>
                    </pic:cNvPicPr>
                  </pic:nvPicPr>
                  <pic:blipFill>
                    <a:blip r:embed="rId3"/>
                    <a:stretch>
                      <a:fillRect/>
                    </a:stretch>
                  </pic:blipFill>
                  <pic:spPr bwMode="auto">
                    <a:xfrm>
                      <a:off x="0" y="0"/>
                      <a:ext cx="5334000" cy="2781300"/>
                    </a:xfrm>
                    <a:prstGeom prst="rect">
                      <a:avLst/>
                    </a:prstGeom>
                  </pic:spPr>
                </pic:pic>
              </a:graphicData>
            </a:graphic>
          </wp:inline>
        </w:drawing>
      </w:r>
    </w:p>
    <w:p>
      <w:pPr>
        <w:pStyle w:val="Normal"/>
        <w:spacing w:before="80" w:after="220"/>
        <w:jc w:val="center"/>
        <w:rPr/>
      </w:pPr>
      <w:r>
        <w:rPr>
          <w:rFonts w:eastAsia="Calibri" w:cs="Calibri"/>
          <w:i/>
          <w:iCs/>
          <w:sz w:val="19"/>
          <w:szCs w:val="19"/>
        </w:rPr>
        <w:t>Figura 2: Bloque EP1 con cursores parametrizados y lazo anidado (sucursal 10, agosto 2026).</w:t>
      </w:r>
      <w:r>
        <w:br w:type="page"/>
      </w:r>
    </w:p>
    <w:p>
      <w:pPr>
        <w:pStyle w:val="Heading1"/>
        <w:spacing w:before="240" w:after="160"/>
        <w:rPr/>
      </w:pPr>
      <w:bookmarkStart w:id="6" w:name="__RefHeading___Toc2891_256807712"/>
      <w:bookmarkEnd w:id="6"/>
      <w:r>
        <w:rPr>
          <w:rFonts w:eastAsia="Calibri" w:cs="Calibri" w:ascii="Calibri" w:hAnsi="Calibri"/>
          <w:b/>
          <w:bCs/>
          <w:color w:val="1F3864"/>
          <w:sz w:val="32"/>
          <w:szCs w:val="32"/>
        </w:rPr>
        <w:t>2. Desarrollo de procedimientos y funciones</w:t>
      </w:r>
    </w:p>
    <w:p>
      <w:pPr>
        <w:pStyle w:val="Heading2"/>
        <w:keepNext w:val="true"/>
        <w:spacing w:before="240" w:after="120"/>
        <w:rPr/>
      </w:pPr>
      <w:bookmarkStart w:id="7" w:name="__RefHeading___Toc2893_256807712"/>
      <w:bookmarkEnd w:id="7"/>
      <w:r>
        <w:rPr>
          <w:rFonts w:eastAsia="Calibri" w:cs="Calibri" w:ascii="Calibri" w:hAnsi="Calibri"/>
          <w:b/>
          <w:bCs/>
          <w:color w:val="1F3864"/>
          <w:sz w:val="26"/>
          <w:szCs w:val="26"/>
        </w:rPr>
        <w:t>2.1 Definición</w:t>
      </w:r>
    </w:p>
    <w:p>
      <w:pPr>
        <w:pStyle w:val="Normal"/>
        <w:spacing w:before="0" w:after="140"/>
        <w:rPr/>
      </w:pPr>
      <w:r>
        <w:rPr>
          <w:rFonts w:eastAsia="Calibri" w:cs="Calibri"/>
          <w:i/>
          <w:iCs/>
          <w:color w:val="595959"/>
          <w:sz w:val="20"/>
          <w:szCs w:val="20"/>
        </w:rPr>
        <w:t>Desarrollado por: Pablo Quintino (funciones) y Max Herrera (procedimientos)</w:t>
      </w:r>
    </w:p>
    <w:p>
      <w:pPr>
        <w:pStyle w:val="Normal"/>
        <w:spacing w:lineRule="exact" w:line="276" w:before="0" w:after="120"/>
        <w:jc w:val="both"/>
        <w:rPr/>
      </w:pPr>
      <w:r>
        <w:rPr>
          <w:rFonts w:eastAsia="Calibri" w:cs="Calibri"/>
          <w:sz w:val="22"/>
          <w:szCs w:val="22"/>
        </w:rPr>
        <w:t xml:space="preserve">Una </w:t>
      </w:r>
      <w:r>
        <w:rPr>
          <w:rFonts w:eastAsia="Calibri" w:cs="Calibri"/>
          <w:b/>
          <w:bCs/>
          <w:sz w:val="22"/>
          <w:szCs w:val="22"/>
        </w:rPr>
        <w:t>función almacenada</w:t>
      </w:r>
      <w:r>
        <w:rPr>
          <w:rFonts w:eastAsia="Calibri" w:cs="Calibri"/>
          <w:sz w:val="22"/>
          <w:szCs w:val="22"/>
        </w:rPr>
        <w:t xml:space="preserve"> es un subprograma PL/SQL guardado en la base de datos que recibe cero o más parámetros y devuelve un único valor mediante </w:t>
      </w:r>
      <w:r>
        <w:rPr>
          <w:rFonts w:eastAsia="Courier New" w:cs="Courier New" w:ascii="Courier New" w:hAnsi="Courier New"/>
          <w:color w:val="7A1F1F"/>
          <w:sz w:val="20"/>
          <w:szCs w:val="20"/>
        </w:rPr>
        <w:t>RETURN</w:t>
      </w:r>
      <w:r>
        <w:rPr>
          <w:rFonts w:eastAsia="Calibri" w:cs="Calibri"/>
          <w:sz w:val="22"/>
          <w:szCs w:val="22"/>
        </w:rPr>
        <w:t>. Como entrega un valor, puede usarse dentro de una sentencia SQL (en el SELECT, el WHERE o el ORDER BY) y dentro de otros bloques PL/SQL.</w:t>
      </w:r>
    </w:p>
    <w:p>
      <w:pPr>
        <w:pStyle w:val="Normal"/>
        <w:spacing w:lineRule="exact" w:line="276" w:before="0" w:after="120"/>
        <w:jc w:val="both"/>
        <w:rPr/>
      </w:pPr>
      <w:r>
        <w:rPr>
          <w:rFonts w:eastAsia="Calibri" w:cs="Calibri"/>
          <w:sz w:val="22"/>
          <w:szCs w:val="22"/>
        </w:rPr>
        <w:t xml:space="preserve">Un </w:t>
      </w:r>
      <w:r>
        <w:rPr>
          <w:rFonts w:eastAsia="Calibri" w:cs="Calibri"/>
          <w:b/>
          <w:bCs/>
          <w:sz w:val="22"/>
          <w:szCs w:val="22"/>
        </w:rPr>
        <w:t>procedimiento almacenado</w:t>
      </w:r>
      <w:r>
        <w:rPr>
          <w:rFonts w:eastAsia="Calibri" w:cs="Calibri"/>
          <w:sz w:val="22"/>
          <w:szCs w:val="22"/>
        </w:rPr>
        <w:t xml:space="preserve"> también vive en la base de datos, pero está pensado para ejecutar acciones: insertar o modificar datos, recorrer conjuntos de filas, mostrar mensajes. No devuelve un valor con </w:t>
      </w:r>
      <w:r>
        <w:rPr>
          <w:rFonts w:eastAsia="Courier New" w:cs="Courier New" w:ascii="Courier New" w:hAnsi="Courier New"/>
          <w:color w:val="7A1F1F"/>
          <w:sz w:val="20"/>
          <w:szCs w:val="20"/>
        </w:rPr>
        <w:t>RETURN</w:t>
      </w:r>
      <w:r>
        <w:rPr>
          <w:rFonts w:eastAsia="Calibri" w:cs="Calibri"/>
          <w:sz w:val="22"/>
          <w:szCs w:val="22"/>
        </w:rPr>
        <w:t xml:space="preserve">, aunque puede entregar resultados mediante parámetros </w:t>
      </w:r>
      <w:r>
        <w:rPr>
          <w:rFonts w:eastAsia="Courier New" w:cs="Courier New" w:ascii="Courier New" w:hAnsi="Courier New"/>
          <w:color w:val="7A1F1F"/>
          <w:sz w:val="20"/>
          <w:szCs w:val="20"/>
        </w:rPr>
        <w:t>OUT</w:t>
      </w:r>
      <w:r>
        <w:rPr>
          <w:rFonts w:eastAsia="Calibri" w:cs="Calibri"/>
          <w:sz w:val="22"/>
          <w:szCs w:val="22"/>
        </w:rPr>
        <w:t xml:space="preserve">. Se invoca con </w:t>
      </w:r>
      <w:r>
        <w:rPr>
          <w:rFonts w:eastAsia="Courier New" w:cs="Courier New" w:ascii="Courier New" w:hAnsi="Courier New"/>
          <w:color w:val="7A1F1F"/>
          <w:sz w:val="20"/>
          <w:szCs w:val="20"/>
        </w:rPr>
        <w:t>EXEC</w:t>
      </w:r>
      <w:r>
        <w:rPr>
          <w:rFonts w:eastAsia="Calibri" w:cs="Calibri"/>
          <w:sz w:val="22"/>
          <w:szCs w:val="22"/>
        </w:rPr>
        <w:t xml:space="preserve"> o desde otro bloque PL/SQL, no desde un SELECT.</w:t>
      </w:r>
    </w:p>
    <w:p>
      <w:pPr>
        <w:pStyle w:val="Heading2"/>
        <w:keepNext w:val="true"/>
        <w:spacing w:before="240" w:after="120"/>
        <w:rPr/>
      </w:pPr>
      <w:bookmarkStart w:id="8" w:name="__RefHeading___Toc2895_256807712"/>
      <w:bookmarkEnd w:id="8"/>
      <w:r>
        <w:rPr>
          <w:rFonts w:eastAsia="Calibri" w:cs="Calibri" w:ascii="Calibri" w:hAnsi="Calibri"/>
          <w:b/>
          <w:bCs/>
          <w:color w:val="1F3864"/>
          <w:sz w:val="26"/>
          <w:szCs w:val="26"/>
        </w:rPr>
        <w:t>2.2 Ventajas y desventajas</w:t>
      </w:r>
    </w:p>
    <w:tbl>
      <w:tblPr>
        <w:tblW w:w="9360" w:type="dxa"/>
        <w:jc w:val="left"/>
        <w:tblInd w:w="0" w:type="dxa"/>
        <w:tblLayout w:type="fixed"/>
        <w:tblCellMar>
          <w:top w:w="60" w:type="dxa"/>
          <w:left w:w="100" w:type="dxa"/>
          <w:bottom w:w="60" w:type="dxa"/>
          <w:right w:w="100" w:type="dxa"/>
        </w:tblCellMar>
      </w:tblPr>
      <w:tblGrid>
        <w:gridCol w:w="4680"/>
        <w:gridCol w:w="4679"/>
      </w:tblGrid>
      <w:tr>
        <w:trPr>
          <w:tblHeader w:val="true"/>
        </w:trPr>
        <w:tc>
          <w:tcPr>
            <w:tcW w:w="46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Ventajas</w:t>
            </w:r>
          </w:p>
        </w:tc>
        <w:tc>
          <w:tcPr>
            <w:tcW w:w="46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Desventajas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Reutilización: la regla se escribe una vez y la usan todos los programas.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La lógica queda dentro de la base de datos y depende de Oracle (menor portabilidad).</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Centralización: un cambio de regla se hace en un solo lugar.</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Depurar es más lento que en un lenguaje de aplicación.</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Menos tráfico entre aplicación y base: el cálculo ocurre donde están los datos.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Una función dentro de un SELECT se ejecuta por cada fila; con muchos datos puede volverse costosa.</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Seguridad: se puede dar permiso de ejecución sin dar acceso a las tablas.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 cambia una tabla o un subprograma, los objetos que dependen de él se invalidan y deben recompilarse.</w:t>
            </w:r>
          </w:p>
        </w:tc>
      </w:tr>
    </w:tbl>
    <w:p>
      <w:pPr>
        <w:pStyle w:val="Normal"/>
        <w:spacing w:before="0" w:after="120"/>
        <w:rPr/>
      </w:pPr>
      <w:r>
        <w:rPr/>
      </w:r>
    </w:p>
    <w:p>
      <w:pPr>
        <w:pStyle w:val="Heading2"/>
        <w:keepNext w:val="true"/>
        <w:spacing w:before="240" w:after="120"/>
        <w:rPr/>
      </w:pPr>
      <w:bookmarkStart w:id="9" w:name="__RefHeading___Toc2897_256807712"/>
      <w:bookmarkEnd w:id="9"/>
      <w:r>
        <w:rPr>
          <w:rFonts w:eastAsia="Calibri" w:cs="Calibri" w:ascii="Calibri" w:hAnsi="Calibri"/>
          <w:b/>
          <w:bCs/>
          <w:color w:val="1F3864"/>
          <w:sz w:val="26"/>
          <w:szCs w:val="26"/>
        </w:rPr>
        <w:t>2.3 Propósito dentro del proyecto</w:t>
      </w:r>
    </w:p>
    <w:p>
      <w:pPr>
        <w:pStyle w:val="Normal"/>
        <w:spacing w:lineRule="exact" w:line="276" w:before="0" w:after="120"/>
        <w:jc w:val="both"/>
        <w:rPr/>
      </w:pPr>
      <w:r>
        <w:rPr>
          <w:rFonts w:eastAsia="Calibri" w:cs="Calibri"/>
          <w:sz w:val="22"/>
          <w:szCs w:val="22"/>
        </w:rPr>
        <w:t>Los subprogramas separan el cálculo de la presentación: las funciones responden “cuánto” y “qué categoría”, y los procedimientos ejecutan el proceso completo. Los objetos que componen esta parte son:</w:t>
      </w:r>
    </w:p>
    <w:tbl>
      <w:tblPr>
        <w:tblW w:w="9360" w:type="dxa"/>
        <w:jc w:val="left"/>
        <w:tblInd w:w="0" w:type="dxa"/>
        <w:tblLayout w:type="fixed"/>
        <w:tblCellMar>
          <w:top w:w="60" w:type="dxa"/>
          <w:left w:w="100" w:type="dxa"/>
          <w:bottom w:w="60" w:type="dxa"/>
          <w:right w:w="100" w:type="dxa"/>
        </w:tblCellMar>
      </w:tblPr>
      <w:tblGrid>
        <w:gridCol w:w="2899"/>
        <w:gridCol w:w="1501"/>
        <w:gridCol w:w="1300"/>
        <w:gridCol w:w="3659"/>
      </w:tblGrid>
      <w:tr>
        <w:trPr>
          <w:tblHeader w:val="true"/>
        </w:trPr>
        <w:tc>
          <w:tcPr>
            <w:tcW w:w="28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Objeto</w:t>
            </w:r>
          </w:p>
        </w:tc>
        <w:tc>
          <w:tcPr>
            <w:tcW w:w="15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Tipo</w:t>
            </w:r>
          </w:p>
        </w:tc>
        <w:tc>
          <w:tcPr>
            <w:tcW w:w="13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Parámetros</w:t>
            </w:r>
          </w:p>
        </w:tc>
        <w:tc>
          <w:tcPr>
            <w:tcW w:w="36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Propósito</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calcular_categoria / calcular_beneficio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 (EP1)</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Devuelven categoría y porcentaje según el total comprado.</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procesar_beneficios (standalone)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 (EP1)</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3</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 una sucursal recorriendo clientes fila a fila.</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fn_clientes_activos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Sin parámetros</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Cuenta los clientes con estado ACTIVO.</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fn_ventas_totales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Sin parámetros</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Suma el total de todas las ventas.</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fn_total_cliente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4</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Total de un cliente en un período; sucursal NULL equivale a todas.</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pr_resumen_general</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Sin parámetros</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Resume la bitácora por categoría.</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pr_obtener_resumen_cliente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4 IN, 4 OUT</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Entrega cantidad, total, categoría y beneficio de un cliente.</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pr_procesar_todas_sucursales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2</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 masivamente todas las sucursales.</w:t>
            </w:r>
          </w:p>
        </w:tc>
      </w:tr>
    </w:tbl>
    <w:p>
      <w:pPr>
        <w:pStyle w:val="Normal"/>
        <w:spacing w:before="0" w:after="120"/>
        <w:rPr/>
      </w:pPr>
      <w:r>
        <w:rPr/>
      </w:r>
    </w:p>
    <w:p>
      <w:pPr>
        <w:pStyle w:val="Heading2"/>
        <w:keepNext w:val="true"/>
        <w:spacing w:before="240" w:after="120"/>
        <w:rPr/>
      </w:pPr>
      <w:bookmarkStart w:id="10" w:name="__RefHeading___Toc2899_256807712"/>
      <w:bookmarkEnd w:id="10"/>
      <w:r>
        <w:rPr>
          <w:rFonts w:eastAsia="Calibri" w:cs="Calibri" w:ascii="Calibri" w:hAnsi="Calibri"/>
          <w:b/>
          <w:bCs/>
          <w:color w:val="1F3864"/>
          <w:sz w:val="26"/>
          <w:szCs w:val="26"/>
        </w:rPr>
        <w:t>2.4 Demostración de funciones</w:t>
      </w:r>
    </w:p>
    <w:p>
      <w:pPr>
        <w:pStyle w:val="Normal"/>
        <w:spacing w:before="0" w:after="140"/>
        <w:rPr/>
      </w:pPr>
      <w:r>
        <w:rPr>
          <w:rFonts w:eastAsia="Calibri" w:cs="Calibri"/>
          <w:i/>
          <w:iCs/>
          <w:color w:val="595959"/>
          <w:sz w:val="20"/>
          <w:szCs w:val="20"/>
        </w:rPr>
        <w:t>Desarrollado por: Pablo Quintino</w:t>
      </w:r>
    </w:p>
    <w:p>
      <w:pPr>
        <w:pStyle w:val="Heading3"/>
        <w:keepNext w:val="true"/>
        <w:spacing w:before="160" w:after="80"/>
        <w:rPr/>
      </w:pPr>
      <w:r>
        <w:rPr>
          <w:rFonts w:eastAsia="Calibri" w:cs="Calibri" w:ascii="Calibri" w:hAnsi="Calibri"/>
          <w:b/>
          <w:bCs/>
          <w:color w:val="2F5496"/>
          <w:sz w:val="23"/>
          <w:szCs w:val="23"/>
        </w:rPr>
        <w:t>2.4.1 Funciones sin parámetros</w:t>
      </w:r>
    </w:p>
    <w:p>
      <w:pPr>
        <w:pStyle w:val="Normal"/>
        <w:spacing w:lineRule="exact" w:line="276" w:before="0" w:after="120"/>
        <w:jc w:val="both"/>
        <w:rPr/>
      </w:pPr>
      <w:r>
        <w:rPr>
          <w:rFonts w:eastAsia="Courier New" w:cs="Courier New" w:ascii="Courier New" w:hAnsi="Courier New"/>
          <w:color w:val="7A1F1F"/>
          <w:sz w:val="20"/>
          <w:szCs w:val="20"/>
        </w:rPr>
        <w:t>fn_clientes_activos</w:t>
      </w:r>
      <w:r>
        <w:rPr>
          <w:rFonts w:eastAsia="Calibri" w:cs="Calibri"/>
          <w:sz w:val="22"/>
          <w:szCs w:val="22"/>
        </w:rPr>
        <w:t xml:space="preserve"> cuenta los clientes con estado ACTIVO y </w:t>
      </w:r>
      <w:r>
        <w:rPr>
          <w:rFonts w:eastAsia="Courier New" w:cs="Courier New" w:ascii="Courier New" w:hAnsi="Courier New"/>
          <w:color w:val="7A1F1F"/>
          <w:sz w:val="20"/>
          <w:szCs w:val="20"/>
        </w:rPr>
        <w:t>fn_ventas_totales</w:t>
      </w:r>
      <w:r>
        <w:rPr>
          <w:rFonts w:eastAsia="Calibri" w:cs="Calibri"/>
          <w:sz w:val="22"/>
          <w:szCs w:val="22"/>
        </w:rPr>
        <w:t xml:space="preserve"> suma la columna </w:t>
      </w:r>
      <w:r>
        <w:rPr>
          <w:rFonts w:eastAsia="Courier New" w:cs="Courier New" w:ascii="Courier New" w:hAnsi="Courier New"/>
          <w:color w:val="7A1F1F"/>
          <w:sz w:val="20"/>
          <w:szCs w:val="20"/>
        </w:rPr>
        <w:t>total</w:t>
      </w:r>
      <w:r>
        <w:rPr>
          <w:rFonts w:eastAsia="Calibri" w:cs="Calibri"/>
          <w:sz w:val="22"/>
          <w:szCs w:val="22"/>
        </w:rPr>
        <w:t xml:space="preserve"> de la tabla </w:t>
      </w:r>
      <w:r>
        <w:rPr>
          <w:rFonts w:eastAsia="Courier New" w:cs="Courier New" w:ascii="Courier New" w:hAnsi="Courier New"/>
          <w:color w:val="7A1F1F"/>
          <w:sz w:val="20"/>
          <w:szCs w:val="20"/>
        </w:rPr>
        <w:t>venta</w:t>
      </w:r>
      <w:r>
        <w:rPr>
          <w:rFonts w:eastAsia="Calibri" w:cs="Calibri"/>
          <w:sz w:val="22"/>
          <w:szCs w:val="22"/>
        </w:rPr>
        <w:t xml:space="preserve"> usando </w:t>
      </w:r>
      <w:r>
        <w:rPr>
          <w:rFonts w:eastAsia="Courier New" w:cs="Courier New" w:ascii="Courier New" w:hAnsi="Courier New"/>
          <w:color w:val="7A1F1F"/>
          <w:sz w:val="20"/>
          <w:szCs w:val="20"/>
        </w:rPr>
        <w:t>NVL</w:t>
      </w:r>
      <w:r>
        <w:rPr>
          <w:rFonts w:eastAsia="Calibri" w:cs="Calibri"/>
          <w:sz w:val="22"/>
          <w:szCs w:val="22"/>
        </w:rPr>
        <w:t xml:space="preserve"> para devolver 0 si no hay ventas. Ninguna recibe argumentos, por lo que se llaman directamente en un SELECT sobre </w:t>
      </w:r>
      <w:r>
        <w:rPr>
          <w:rFonts w:eastAsia="Courier New" w:cs="Courier New" w:ascii="Courier New" w:hAnsi="Courier New"/>
          <w:color w:val="7A1F1F"/>
          <w:sz w:val="20"/>
          <w:szCs w:val="20"/>
        </w:rPr>
        <w:t>dual</w:t>
      </w:r>
      <w:r>
        <w:rPr>
          <w:rFonts w:eastAsia="Calibri" w:cs="Calibri"/>
          <w:sz w:val="22"/>
          <w:szCs w:val="22"/>
        </w:rPr>
        <w:t>. En la Figura 3 se obtienen 4 clientes activos y $4.389.640 en ventas totales. Este monto incluye la venta de septiembre, porque la función no filtra por fecha; el mismo valor aparece en el resumen de la Figura 6.</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E01 – Pablo Quintino ]</w:t>
            </w:r>
          </w:p>
          <w:p>
            <w:pPr>
              <w:pStyle w:val="Normal"/>
              <w:jc w:val="center"/>
              <w:rPr/>
            </w:pPr>
            <w:r>
              <w:rPr>
                <w:rFonts w:eastAsia="Calibri" w:cs="Calibri"/>
                <w:i/>
                <w:iCs/>
                <w:sz w:val="18"/>
                <w:szCs w:val="18"/>
              </w:rPr>
              <w:t>Insertar aquí la captura. Resultado esperado: 4 clientes activos | ventas totales 4389640</w:t>
            </w:r>
          </w:p>
        </w:tc>
      </w:tr>
    </w:tbl>
    <w:p>
      <w:pPr>
        <w:pStyle w:val="Normal"/>
        <w:spacing w:before="80" w:after="220"/>
        <w:jc w:val="center"/>
        <w:rPr/>
      </w:pPr>
      <w:r>
        <w:rPr>
          <w:rFonts w:eastAsia="Calibri" w:cs="Calibri"/>
          <w:i/>
          <w:iCs/>
          <w:sz w:val="19"/>
          <w:szCs w:val="19"/>
        </w:rPr>
        <w:t>Figura 3: Funciones sin parámetros invocadas desde SELECT.</w:t>
      </w:r>
    </w:p>
    <w:p>
      <w:pPr>
        <w:pStyle w:val="Heading3"/>
        <w:keepNext w:val="true"/>
        <w:spacing w:before="160" w:after="80"/>
        <w:rPr/>
      </w:pPr>
      <w:r>
        <w:rPr>
          <w:rFonts w:eastAsia="Calibri" w:cs="Calibri" w:ascii="Calibri" w:hAnsi="Calibri"/>
          <w:b/>
          <w:bCs/>
          <w:color w:val="2F5496"/>
          <w:sz w:val="23"/>
          <w:szCs w:val="23"/>
        </w:rPr>
        <w:t>2.4.2 Funciones con parámetros</w:t>
      </w:r>
    </w:p>
    <w:p>
      <w:pPr>
        <w:pStyle w:val="Normal"/>
        <w:spacing w:lineRule="exact" w:line="276" w:before="0" w:after="120"/>
        <w:jc w:val="both"/>
        <w:rPr/>
      </w:pPr>
      <w:r>
        <w:rPr>
          <w:rFonts w:eastAsia="Courier New" w:cs="Courier New" w:ascii="Courier New" w:hAnsi="Courier New"/>
          <w:color w:val="7A1F1F"/>
          <w:sz w:val="20"/>
          <w:szCs w:val="20"/>
        </w:rPr>
        <w:t>fn_total_cliente(p_id_cliente, p_id_sucursal, p_fecha_desde, p_fecha_hasta)</w:t>
      </w:r>
      <w:r>
        <w:rPr>
          <w:rFonts w:eastAsia="Calibri" w:cs="Calibri"/>
          <w:sz w:val="22"/>
          <w:szCs w:val="22"/>
        </w:rPr>
        <w:t xml:space="preserve"> suma las ventas de un cliente en un período. Si </w:t>
      </w:r>
      <w:r>
        <w:rPr>
          <w:rFonts w:eastAsia="Courier New" w:cs="Courier New" w:ascii="Courier New" w:hAnsi="Courier New"/>
          <w:color w:val="7A1F1F"/>
          <w:sz w:val="20"/>
          <w:szCs w:val="20"/>
        </w:rPr>
        <w:t>p_id_sucursal</w:t>
      </w:r>
      <w:r>
        <w:rPr>
          <w:rFonts w:eastAsia="Calibri" w:cs="Calibri"/>
          <w:sz w:val="22"/>
          <w:szCs w:val="22"/>
        </w:rPr>
        <w:t xml:space="preserve"> es NULL considera todas las sucursales, gracias a la condición </w:t>
      </w:r>
      <w:r>
        <w:rPr>
          <w:rFonts w:eastAsia="Courier New" w:cs="Courier New" w:ascii="Courier New" w:hAnsi="Courier New"/>
          <w:color w:val="7A1F1F"/>
          <w:sz w:val="20"/>
          <w:szCs w:val="20"/>
        </w:rPr>
        <w:t>(p_id_sucursal IS NULL OR id_sucursal = p_id_sucursal)</w:t>
      </w:r>
      <w:r>
        <w:rPr>
          <w:rFonts w:eastAsia="Calibri" w:cs="Calibri"/>
          <w:sz w:val="22"/>
          <w:szCs w:val="22"/>
        </w:rPr>
        <w:t xml:space="preserve">. La Figura 4 la usa en un SELECT masivo que cruza clientes con sucursales y aplica </w:t>
      </w:r>
      <w:r>
        <w:rPr>
          <w:rFonts w:eastAsia="Courier New" w:cs="Courier New" w:ascii="Courier New" w:hAnsi="Courier New"/>
          <w:color w:val="7A1F1F"/>
          <w:sz w:val="20"/>
          <w:szCs w:val="20"/>
        </w:rPr>
        <w:t>calcular_categoria</w:t>
      </w:r>
      <w:r>
        <w:rPr>
          <w:rFonts w:eastAsia="Calibri" w:cs="Calibri"/>
          <w:sz w:val="22"/>
          <w:szCs w:val="22"/>
        </w:rPr>
        <w:t xml:space="preserve"> y </w:t>
      </w:r>
      <w:r>
        <w:rPr>
          <w:rFonts w:eastAsia="Courier New" w:cs="Courier New" w:ascii="Courier New" w:hAnsi="Courier New"/>
          <w:color w:val="7A1F1F"/>
          <w:sz w:val="20"/>
          <w:szCs w:val="20"/>
        </w:rPr>
        <w:t>calcular_beneficio</w:t>
      </w:r>
      <w:r>
        <w:rPr>
          <w:rFonts w:eastAsia="Calibri" w:cs="Calibri"/>
          <w:sz w:val="22"/>
          <w:szCs w:val="22"/>
        </w:rPr>
        <w:t xml:space="preserve"> sobre cada total; solo se muestran las combinaciones con compras, que son seis: en la sucursal 10 los clientes 101 (GOLD, $1.339.950), 102 (GOLD, $759.960), 103 (BRONZE, $219.980) y 104 (PLATINUM, $1.599.800), y en la 20 los clientes 101 (BRONZE, $109.990) y 103 (SILVER, $319.970).</w:t>
      </w:r>
    </w:p>
    <w:p>
      <w:pPr>
        <w:pStyle w:val="Normal"/>
        <w:spacing w:lineRule="exact" w:line="276" w:before="0" w:after="120"/>
        <w:jc w:val="both"/>
        <w:rPr/>
      </w:pPr>
      <w:r>
        <w:rPr>
          <w:rFonts w:eastAsia="Calibri" w:cs="Calibri"/>
          <w:sz w:val="22"/>
          <w:szCs w:val="22"/>
        </w:rPr>
        <w:t>La misma figura incluye una prueba de valores límite, que confirma que cada umbral pertenece a la categoría superior: $299.999 es BRONZE y $300.000 es SILVER; $699.999 es SILVER y $700.000 es GOLD; $1.499.999 es GOLD y $1.500.000 es PLATINUM. También compara la función independiente con la del package para comprobar que ambas coinciden.</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E02 – Pablo Quintino ]</w:t>
            </w:r>
          </w:p>
          <w:p>
            <w:pPr>
              <w:pStyle w:val="Normal"/>
              <w:jc w:val="center"/>
              <w:rPr/>
            </w:pPr>
            <w:r>
              <w:rPr>
                <w:rFonts w:eastAsia="Calibri" w:cs="Calibri"/>
                <w:i/>
                <w:iCs/>
                <w:sz w:val="18"/>
                <w:szCs w:val="18"/>
              </w:rPr>
              <w:t>Insertar aquí la captura. Resultado esperado: 6 filas (S10: 101, 102, 103, 104; S20: 101, 103) y límites 250000 BRONZE 5, 300000 SILVER 10, 700000 GOLD 15, 1500000 PLATINUM 20</w:t>
            </w:r>
          </w:p>
        </w:tc>
      </w:tr>
    </w:tbl>
    <w:p>
      <w:pPr>
        <w:pStyle w:val="Normal"/>
        <w:spacing w:before="80" w:after="220"/>
        <w:jc w:val="center"/>
        <w:rPr/>
      </w:pPr>
      <w:r>
        <w:rPr>
          <w:rFonts w:eastAsia="Calibri" w:cs="Calibri"/>
          <w:i/>
          <w:iCs/>
          <w:sz w:val="19"/>
          <w:szCs w:val="19"/>
        </w:rPr>
        <w:t>Figura 4: Funciones con parámetros en SELECT masivo y prueba de valores límite.</w:t>
      </w:r>
    </w:p>
    <w:p>
      <w:pPr>
        <w:pStyle w:val="Heading3"/>
        <w:keepNext w:val="true"/>
        <w:spacing w:before="160" w:after="80"/>
        <w:rPr/>
      </w:pPr>
      <w:r>
        <w:rPr>
          <w:rFonts w:eastAsia="Calibri" w:cs="Calibri" w:ascii="Calibri" w:hAnsi="Calibri"/>
          <w:b/>
          <w:bCs/>
          <w:color w:val="2F5496"/>
          <w:sz w:val="23"/>
          <w:szCs w:val="23"/>
        </w:rPr>
        <w:t>2.4.3 Uso desde otro bloque PL/SQL</w:t>
      </w:r>
    </w:p>
    <w:p>
      <w:pPr>
        <w:pStyle w:val="Normal"/>
        <w:spacing w:lineRule="exact" w:line="276" w:before="0" w:after="120"/>
        <w:jc w:val="both"/>
        <w:rPr/>
      </w:pPr>
      <w:r>
        <w:rPr>
          <w:rFonts w:eastAsia="Calibri" w:cs="Calibri"/>
          <w:sz w:val="22"/>
          <w:szCs w:val="22"/>
        </w:rPr>
        <w:t xml:space="preserve">Las funciones también se invocan desde PL/SQL. El bloque de la Figura 5 recorre los clientes activos, calcula con </w:t>
      </w:r>
      <w:r>
        <w:rPr>
          <w:rFonts w:eastAsia="Courier New" w:cs="Courier New" w:ascii="Courier New" w:hAnsi="Courier New"/>
          <w:color w:val="7A1F1F"/>
          <w:sz w:val="20"/>
          <w:szCs w:val="20"/>
        </w:rPr>
        <w:t>fn_total_cliente</w:t>
      </w:r>
      <w:r>
        <w:rPr>
          <w:rFonts w:eastAsia="Calibri" w:cs="Calibri"/>
          <w:sz w:val="22"/>
          <w:szCs w:val="22"/>
        </w:rPr>
        <w:t xml:space="preserve"> el total de agosto en todas las sucursales (pasando NULL) y clasifica con las funciones del package. Resultado: 101 GOLD con $1.449.940, 102 GOLD con $759.960, 103 SILVER con $539.950 y 104 PLATINUM con $1.599.800. Los totales de 101 y 103 son mayores que en la figura anterior porque aquí se suman ambas sucursales, y por eso 103 sube de BRONZE a SILVER.</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E03 – Pablo Quintino ]</w:t>
            </w:r>
          </w:p>
          <w:p>
            <w:pPr>
              <w:pStyle w:val="Normal"/>
              <w:jc w:val="center"/>
              <w:rPr/>
            </w:pPr>
            <w:r>
              <w:rPr>
                <w:rFonts w:eastAsia="Calibri" w:cs="Calibri"/>
                <w:i/>
                <w:iCs/>
                <w:sz w:val="18"/>
                <w:szCs w:val="18"/>
              </w:rPr>
              <w:t>Insertar aquí la captura. Resultado esperado: 101 GOLD 1449940 | 102 GOLD 759960 | 103 SILVER 539950 | 104 PLATINUM 1599800</w:t>
            </w:r>
          </w:p>
        </w:tc>
      </w:tr>
    </w:tbl>
    <w:p>
      <w:pPr>
        <w:pStyle w:val="Normal"/>
        <w:spacing w:before="80" w:after="220"/>
        <w:jc w:val="center"/>
        <w:rPr/>
      </w:pPr>
      <w:r>
        <w:rPr>
          <w:rFonts w:eastAsia="Calibri" w:cs="Calibri"/>
          <w:i/>
          <w:iCs/>
          <w:sz w:val="19"/>
          <w:szCs w:val="19"/>
        </w:rPr>
        <w:t>Figura 5: Funciones usadas desde un bloque PL/SQL (todas las sucursales).</w:t>
      </w:r>
    </w:p>
    <w:p>
      <w:pPr>
        <w:pStyle w:val="Heading2"/>
        <w:keepNext w:val="true"/>
        <w:spacing w:before="240" w:after="120"/>
        <w:rPr/>
      </w:pPr>
      <w:bookmarkStart w:id="11" w:name="__RefHeading___Toc2901_256807712"/>
      <w:bookmarkEnd w:id="11"/>
      <w:r>
        <w:rPr>
          <w:rFonts w:eastAsia="Calibri" w:cs="Calibri" w:ascii="Calibri" w:hAnsi="Calibri"/>
          <w:b/>
          <w:bCs/>
          <w:color w:val="1F3864"/>
          <w:sz w:val="26"/>
          <w:szCs w:val="26"/>
        </w:rPr>
        <w:t>2.5 Demostración de procedimientos</w:t>
      </w:r>
    </w:p>
    <w:p>
      <w:pPr>
        <w:pStyle w:val="Normal"/>
        <w:spacing w:before="0" w:after="140"/>
        <w:rPr/>
      </w:pPr>
      <w:r>
        <w:rPr>
          <w:rFonts w:eastAsia="Calibri" w:cs="Calibri"/>
          <w:i/>
          <w:iCs/>
          <w:color w:val="595959"/>
          <w:sz w:val="20"/>
          <w:szCs w:val="20"/>
        </w:rPr>
        <w:t>Desarrollado por: Max Herrera</w:t>
      </w:r>
    </w:p>
    <w:p>
      <w:pPr>
        <w:pStyle w:val="Heading3"/>
        <w:keepNext w:val="true"/>
        <w:spacing w:before="160" w:after="80"/>
        <w:rPr/>
      </w:pPr>
      <w:r>
        <w:rPr>
          <w:rFonts w:eastAsia="Calibri" w:cs="Calibri" w:ascii="Calibri" w:hAnsi="Calibri"/>
          <w:b/>
          <w:bCs/>
          <w:color w:val="2F5496"/>
          <w:sz w:val="23"/>
          <w:szCs w:val="23"/>
        </w:rPr>
        <w:t>2.5.1 Procedimiento sin parámetros</w:t>
      </w:r>
    </w:p>
    <w:p>
      <w:pPr>
        <w:pStyle w:val="Normal"/>
        <w:spacing w:lineRule="exact" w:line="276" w:before="0" w:after="120"/>
        <w:jc w:val="both"/>
        <w:rPr/>
      </w:pPr>
      <w:r>
        <w:rPr>
          <w:rFonts w:eastAsia="Courier New" w:cs="Courier New" w:ascii="Courier New" w:hAnsi="Courier New"/>
          <w:color w:val="7A1F1F"/>
          <w:sz w:val="20"/>
          <w:szCs w:val="20"/>
        </w:rPr>
        <w:t>pr_resumen_general</w:t>
      </w:r>
      <w:r>
        <w:rPr>
          <w:rFonts w:eastAsia="Calibri" w:cs="Calibri"/>
          <w:sz w:val="22"/>
          <w:szCs w:val="22"/>
        </w:rPr>
        <w:t xml:space="preserve"> no recibe argumentos. Lee la bitácora con un solo </w:t>
      </w:r>
      <w:r>
        <w:rPr>
          <w:rFonts w:eastAsia="Courier New" w:cs="Courier New" w:ascii="Courier New" w:hAnsi="Courier New"/>
          <w:color w:val="7A1F1F"/>
          <w:sz w:val="20"/>
          <w:szCs w:val="20"/>
        </w:rPr>
        <w:t>SELECT … BULK COLLECT INTO</w:t>
      </w:r>
      <w:r>
        <w:rPr>
          <w:rFonts w:eastAsia="Calibri" w:cs="Calibri"/>
          <w:sz w:val="22"/>
          <w:szCs w:val="22"/>
        </w:rPr>
        <w:t xml:space="preserve"> hacia una colección de registros, agrupada por categoría y ordenada por porcentaje de beneficio, y luego la recorre para imprimir el resumen. Si la bitácora está vacía avisa y termina. Al final usa </w:t>
      </w:r>
      <w:r>
        <w:rPr>
          <w:rFonts w:eastAsia="Courier New" w:cs="Courier New" w:ascii="Courier New" w:hAnsi="Courier New"/>
          <w:color w:val="7A1F1F"/>
          <w:sz w:val="20"/>
          <w:szCs w:val="20"/>
        </w:rPr>
        <w:t>fn_clientes_activos</w:t>
      </w:r>
      <w:r>
        <w:rPr>
          <w:rFonts w:eastAsia="Calibri" w:cs="Calibri"/>
          <w:sz w:val="22"/>
          <w:szCs w:val="22"/>
        </w:rPr>
        <w:t xml:space="preserve"> y </w:t>
      </w:r>
      <w:r>
        <w:rPr>
          <w:rFonts w:eastAsia="Courier New" w:cs="Courier New" w:ascii="Courier New" w:hAnsi="Courier New"/>
          <w:color w:val="7A1F1F"/>
          <w:sz w:val="20"/>
          <w:szCs w:val="20"/>
        </w:rPr>
        <w:t>fn_ventas_totales</w:t>
      </w:r>
      <w:r>
        <w:rPr>
          <w:rFonts w:eastAsia="Calibri" w:cs="Calibri"/>
          <w:sz w:val="22"/>
          <w:szCs w:val="22"/>
        </w:rPr>
        <w:t>, de modo que funciones y procedimiento trabajan juntos.</w:t>
      </w:r>
    </w:p>
    <w:p>
      <w:pPr>
        <w:pStyle w:val="Normal"/>
        <w:spacing w:lineRule="exact" w:line="276" w:before="0" w:after="120"/>
        <w:jc w:val="both"/>
        <w:rPr/>
      </w:pPr>
      <w:r>
        <w:rPr>
          <w:rFonts w:eastAsia="Calibri" w:cs="Calibri"/>
          <w:sz w:val="22"/>
          <w:szCs w:val="22"/>
        </w:rPr>
        <w:t>En la Figura 6 la bitácora contiene solo la sucursal 10: BRONZE 1 cliente ($219.980), GOLD 2 clientes ($2.099.910) y PLATINUM 1 cliente ($1.599.800), además de 4 clientes activos y $4.389.640 en ventas registradas.</w:t>
      </w:r>
    </w:p>
    <w:p>
      <w:pPr>
        <w:pStyle w:val="Normal"/>
        <w:keepNext w:val="true"/>
        <w:spacing w:before="120" w:after="0"/>
        <w:jc w:val="center"/>
        <w:rPr/>
      </w:pPr>
      <w:r>
        <w:rPr/>
        <w:drawing>
          <wp:inline distT="0" distB="0" distL="0" distR="0">
            <wp:extent cx="4572000" cy="3057525"/>
            <wp:effectExtent l="0" t="0" r="0" b="0"/>
            <wp:docPr id="3" name="E05" descr="E05&#10;Ejecución de pr_resumen_general (procedimiento sin pará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05" descr="E05&#10;Ejecución de pr_resumen_general (procedimiento sin parámetros)."/>
                    <pic:cNvPicPr>
                      <a:picLocks noChangeAspect="1" noChangeArrowheads="1"/>
                    </pic:cNvPicPr>
                  </pic:nvPicPr>
                  <pic:blipFill>
                    <a:blip r:embed="rId4"/>
                    <a:stretch>
                      <a:fillRect/>
                    </a:stretch>
                  </pic:blipFill>
                  <pic:spPr bwMode="auto">
                    <a:xfrm>
                      <a:off x="0" y="0"/>
                      <a:ext cx="4572000" cy="3057525"/>
                    </a:xfrm>
                    <a:prstGeom prst="rect">
                      <a:avLst/>
                    </a:prstGeom>
                  </pic:spPr>
                </pic:pic>
              </a:graphicData>
            </a:graphic>
          </wp:inline>
        </w:drawing>
      </w:r>
    </w:p>
    <w:p>
      <w:pPr>
        <w:pStyle w:val="Normal"/>
        <w:spacing w:before="80" w:after="220"/>
        <w:jc w:val="center"/>
        <w:rPr/>
      </w:pPr>
      <w:r>
        <w:rPr>
          <w:rFonts w:eastAsia="Calibri" w:cs="Calibri"/>
          <w:i/>
          <w:iCs/>
          <w:sz w:val="19"/>
          <w:szCs w:val="19"/>
        </w:rPr>
        <w:t>Figura 6: Ejecución de pr_resumen_general (procedimiento sin parámetros).</w:t>
      </w:r>
    </w:p>
    <w:p>
      <w:pPr>
        <w:pStyle w:val="Heading3"/>
        <w:keepNext w:val="true"/>
        <w:spacing w:before="160" w:after="80"/>
        <w:rPr/>
      </w:pPr>
      <w:r>
        <w:rPr>
          <w:rFonts w:eastAsia="Calibri" w:cs="Calibri" w:ascii="Calibri" w:hAnsi="Calibri"/>
          <w:b/>
          <w:bCs/>
          <w:color w:val="2F5496"/>
          <w:sz w:val="23"/>
          <w:szCs w:val="23"/>
        </w:rPr>
        <w:t>2.5.2 Procedimiento con parámetros IN y OUT, llamado desde PL/SQL</w:t>
      </w:r>
    </w:p>
    <w:p>
      <w:pPr>
        <w:pStyle w:val="Normal"/>
        <w:spacing w:lineRule="exact" w:line="276" w:before="0" w:after="120"/>
        <w:jc w:val="both"/>
        <w:rPr/>
      </w:pPr>
      <w:r>
        <w:rPr>
          <w:rFonts w:eastAsia="Courier New" w:cs="Courier New" w:ascii="Courier New" w:hAnsi="Courier New"/>
          <w:color w:val="7A1F1F"/>
          <w:sz w:val="20"/>
          <w:szCs w:val="20"/>
        </w:rPr>
        <w:t>pr_obtener_resumen_cliente</w:t>
      </w:r>
      <w:r>
        <w:rPr>
          <w:rFonts w:eastAsia="Calibri" w:cs="Calibri"/>
          <w:sz w:val="22"/>
          <w:szCs w:val="22"/>
        </w:rPr>
        <w:t xml:space="preserve"> recibe cliente, sucursal y período (IN) y devuelve cantidad de compras, total, categoría y beneficio (OUT). Primero comprueba que el cliente exista; si no, lanza el error </w:t>
      </w:r>
      <w:r>
        <w:rPr>
          <w:rFonts w:eastAsia="Courier New" w:cs="Courier New" w:ascii="Courier New" w:hAnsi="Courier New"/>
          <w:color w:val="7A1F1F"/>
          <w:sz w:val="20"/>
          <w:szCs w:val="20"/>
        </w:rPr>
        <w:t>ORA-20002</w:t>
      </w:r>
      <w:r>
        <w:rPr>
          <w:rFonts w:eastAsia="Calibri" w:cs="Calibri"/>
          <w:sz w:val="22"/>
          <w:szCs w:val="22"/>
        </w:rPr>
        <w:t xml:space="preserve">. Luego cuenta las ventas, obtiene el total con </w:t>
      </w:r>
      <w:r>
        <w:rPr>
          <w:rFonts w:eastAsia="Courier New" w:cs="Courier New" w:ascii="Courier New" w:hAnsi="Courier New"/>
          <w:color w:val="7A1F1F"/>
          <w:sz w:val="20"/>
          <w:szCs w:val="20"/>
        </w:rPr>
        <w:t>fn_total_cliente</w:t>
      </w:r>
      <w:r>
        <w:rPr>
          <w:rFonts w:eastAsia="Calibri" w:cs="Calibri"/>
          <w:sz w:val="22"/>
          <w:szCs w:val="22"/>
        </w:rPr>
        <w:t xml:space="preserve"> y clasifica con las funciones de categoría y beneficio.</w:t>
      </w:r>
    </w:p>
    <w:p>
      <w:pPr>
        <w:pStyle w:val="Normal"/>
        <w:spacing w:lineRule="exact" w:line="276" w:before="0" w:after="120"/>
        <w:jc w:val="both"/>
        <w:rPr/>
      </w:pPr>
      <w:r>
        <w:rPr>
          <w:rFonts w:eastAsia="Calibri" w:cs="Calibri"/>
          <w:sz w:val="22"/>
          <w:szCs w:val="22"/>
        </w:rPr>
        <w:t>La Figura 7 lo llama desde un bloque anónimo que recorre los clientes activos de la sucursal 10: el 101 tiene 3 compras por $1.339.950 (GOLD, 15%), el 102 tiene 2 por $759.960 (GOLD, 15%), el 103 una por $219.980 (BRONZE, 5%) y el 104 una por $1.599.800 (PLATINUM, 20%).</w:t>
      </w:r>
    </w:p>
    <w:p>
      <w:pPr>
        <w:pStyle w:val="Normal"/>
        <w:keepNext w:val="true"/>
        <w:spacing w:before="120" w:after="0"/>
        <w:jc w:val="center"/>
        <w:rPr/>
      </w:pPr>
      <w:r>
        <w:rPr/>
        <w:drawing>
          <wp:inline distT="0" distB="0" distL="0" distR="0">
            <wp:extent cx="4572000" cy="2790825"/>
            <wp:effectExtent l="0" t="0" r="0" b="0"/>
            <wp:docPr id="4" name="E06" descr="E06&#10;pr_obtener_resumen_cliente llamado desde un bloque PL/SQL con parámetro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06" descr="E06&#10;pr_obtener_resumen_cliente llamado desde un bloque PL/SQL con parámetros OUT."/>
                    <pic:cNvPicPr>
                      <a:picLocks noChangeAspect="1" noChangeArrowheads="1"/>
                    </pic:cNvPicPr>
                  </pic:nvPicPr>
                  <pic:blipFill>
                    <a:blip r:embed="rId5"/>
                    <a:stretch>
                      <a:fillRect/>
                    </a:stretch>
                  </pic:blipFill>
                  <pic:spPr bwMode="auto">
                    <a:xfrm>
                      <a:off x="0" y="0"/>
                      <a:ext cx="4572000" cy="2790825"/>
                    </a:xfrm>
                    <a:prstGeom prst="rect">
                      <a:avLst/>
                    </a:prstGeom>
                  </pic:spPr>
                </pic:pic>
              </a:graphicData>
            </a:graphic>
          </wp:inline>
        </w:drawing>
      </w:r>
    </w:p>
    <w:p>
      <w:pPr>
        <w:pStyle w:val="Normal"/>
        <w:spacing w:before="80" w:after="220"/>
        <w:jc w:val="center"/>
        <w:rPr/>
      </w:pPr>
      <w:r>
        <w:rPr>
          <w:rFonts w:eastAsia="Calibri" w:cs="Calibri"/>
          <w:i/>
          <w:iCs/>
          <w:sz w:val="19"/>
          <w:szCs w:val="19"/>
        </w:rPr>
        <w:t>Figura 7: pr_obtener_resumen_cliente llamado desde un bloque PL/SQL con parámetros OUT.</w:t>
      </w:r>
    </w:p>
    <w:p>
      <w:pPr>
        <w:pStyle w:val="Heading2"/>
        <w:keepNext w:val="true"/>
        <w:spacing w:before="240" w:after="120"/>
        <w:rPr/>
      </w:pPr>
      <w:bookmarkStart w:id="12" w:name="__RefHeading___Toc2903_256807712"/>
      <w:bookmarkEnd w:id="12"/>
      <w:r>
        <w:rPr>
          <w:rFonts w:eastAsia="Calibri" w:cs="Calibri" w:ascii="Calibri" w:hAnsi="Calibri"/>
          <w:b/>
          <w:bCs/>
          <w:color w:val="1F3864"/>
          <w:sz w:val="26"/>
          <w:szCs w:val="26"/>
        </w:rPr>
        <w:t>2.6 Procesamiento masivo</w:t>
      </w:r>
    </w:p>
    <w:p>
      <w:pPr>
        <w:pStyle w:val="Normal"/>
        <w:spacing w:lineRule="exact" w:line="276" w:before="0" w:after="120"/>
        <w:jc w:val="both"/>
        <w:rPr/>
      </w:pPr>
      <w:r>
        <w:rPr>
          <w:rFonts w:eastAsia="Calibri" w:cs="Calibri"/>
          <w:sz w:val="22"/>
          <w:szCs w:val="22"/>
        </w:rPr>
        <w:t xml:space="preserve">Procesamiento masivo significa resolver un conjunto completo de filas con pocas sentencias en lugar de una operación por fila. Este proyecto lo aplica en dos niveles. Dentro de cada sucursal, </w:t>
      </w:r>
      <w:r>
        <w:rPr>
          <w:rFonts w:eastAsia="Courier New" w:cs="Courier New" w:ascii="Courier New" w:hAnsi="Courier New"/>
          <w:color w:val="7A1F1F"/>
          <w:sz w:val="20"/>
          <w:szCs w:val="20"/>
        </w:rPr>
        <w:t>procesar_beneficios</w:t>
      </w:r>
      <w:r>
        <w:rPr>
          <w:rFonts w:eastAsia="Calibri" w:cs="Calibri"/>
          <w:sz w:val="22"/>
          <w:szCs w:val="22"/>
        </w:rPr>
        <w:t xml:space="preserve"> del package usa un único </w:t>
      </w:r>
      <w:r>
        <w:rPr>
          <w:rFonts w:eastAsia="Courier New" w:cs="Courier New" w:ascii="Courier New" w:hAnsi="Courier New"/>
          <w:color w:val="7A1F1F"/>
          <w:sz w:val="20"/>
          <w:szCs w:val="20"/>
        </w:rPr>
        <w:t>INSERT … SELECT … GROUP BY</w:t>
      </w:r>
      <w:r>
        <w:rPr>
          <w:rFonts w:eastAsia="Calibri" w:cs="Calibri"/>
          <w:sz w:val="22"/>
          <w:szCs w:val="22"/>
        </w:rPr>
        <w:t xml:space="preserve"> (se detalla en la sección 3). A nivel de todo el sistema, </w:t>
      </w:r>
      <w:r>
        <w:rPr>
          <w:rFonts w:eastAsia="Courier New" w:cs="Courier New" w:ascii="Courier New" w:hAnsi="Courier New"/>
          <w:color w:val="7A1F1F"/>
          <w:sz w:val="20"/>
          <w:szCs w:val="20"/>
        </w:rPr>
        <w:t>pr_procesar_todas_sucursales(p_fecha_desde, p_fecha_hasta)</w:t>
      </w:r>
      <w:r>
        <w:rPr>
          <w:rFonts w:eastAsia="Calibri" w:cs="Calibri"/>
          <w:sz w:val="22"/>
          <w:szCs w:val="22"/>
        </w:rPr>
        <w:t xml:space="preserve"> recorre la tabla </w:t>
      </w:r>
      <w:r>
        <w:rPr>
          <w:rFonts w:eastAsia="Courier New" w:cs="Courier New" w:ascii="Courier New" w:hAnsi="Courier New"/>
          <w:color w:val="7A1F1F"/>
          <w:sz w:val="20"/>
          <w:szCs w:val="20"/>
        </w:rPr>
        <w:t>sucursal</w:t>
      </w:r>
      <w:r>
        <w:rPr>
          <w:rFonts w:eastAsia="Calibri" w:cs="Calibri"/>
          <w:sz w:val="22"/>
          <w:szCs w:val="22"/>
        </w:rPr>
        <w:t xml:space="preserve"> y delega en el package, sin que el usuario tenga que indicar sucursal por sucursal.</w:t>
      </w:r>
    </w:p>
    <w:p>
      <w:pPr>
        <w:pStyle w:val="Normal"/>
        <w:spacing w:lineRule="exact" w:line="276" w:before="0" w:after="120"/>
        <w:jc w:val="both"/>
        <w:rPr/>
      </w:pPr>
      <w:r>
        <w:rPr>
          <w:rFonts w:eastAsia="Calibri" w:cs="Calibri"/>
          <w:sz w:val="22"/>
          <w:szCs w:val="22"/>
        </w:rPr>
        <w:t>La Figura 8 lo ejecuta para agosto: la sucursal 10 registra 4 clientes, la 20 registra 2 y la 30 registra 0, con lo que la bitácora queda con 6 filas (GOLD, GOLD, BRONZE y PLATINUM en la 10; BRONZE y SILVER en la 20) y el procedimiento informa “Sucursales procesadas: 3”. Los identificadores parten en 21 porque la columna es de tipo IDENTITY y no se reinicia al borrar filas durante las pruebas. Los mensajes de trigger que aparecen en la salida se explican en la sección 4.</w:t>
      </w:r>
    </w:p>
    <w:p>
      <w:pPr>
        <w:pStyle w:val="Normal"/>
        <w:keepNext w:val="true"/>
        <w:spacing w:before="120" w:after="0"/>
        <w:jc w:val="center"/>
        <w:rPr/>
      </w:pPr>
      <w:r>
        <w:rPr/>
        <w:drawing>
          <wp:inline distT="0" distB="0" distL="0" distR="0">
            <wp:extent cx="3810000" cy="4314825"/>
            <wp:effectExtent l="0" t="0" r="0" b="0"/>
            <wp:docPr id="5" name="E04" descr="E04&#10;pr_procesar_todas_sucursales sobre las tres sucursales y contenido resultante de la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04" descr="E04&#10;pr_procesar_todas_sucursales sobre las tres sucursales y contenido resultante de la bitácora."/>
                    <pic:cNvPicPr>
                      <a:picLocks noChangeAspect="1" noChangeArrowheads="1"/>
                    </pic:cNvPicPr>
                  </pic:nvPicPr>
                  <pic:blipFill>
                    <a:blip r:embed="rId6"/>
                    <a:stretch>
                      <a:fillRect/>
                    </a:stretch>
                  </pic:blipFill>
                  <pic:spPr bwMode="auto">
                    <a:xfrm>
                      <a:off x="0" y="0"/>
                      <a:ext cx="3810000" cy="4314825"/>
                    </a:xfrm>
                    <a:prstGeom prst="rect">
                      <a:avLst/>
                    </a:prstGeom>
                  </pic:spPr>
                </pic:pic>
              </a:graphicData>
            </a:graphic>
          </wp:inline>
        </w:drawing>
      </w:r>
    </w:p>
    <w:p>
      <w:pPr>
        <w:pStyle w:val="Normal"/>
        <w:spacing w:before="80" w:after="220"/>
        <w:jc w:val="center"/>
        <w:rPr/>
      </w:pPr>
      <w:r>
        <w:rPr>
          <w:rFonts w:eastAsia="Calibri" w:cs="Calibri"/>
          <w:i/>
          <w:iCs/>
          <w:sz w:val="19"/>
          <w:szCs w:val="19"/>
        </w:rPr>
        <w:t>Figura 8: pr_procesar_todas_sucursales sobre las tres sucursales y contenido resultante de la bitácora.</w:t>
      </w:r>
    </w:p>
    <w:p>
      <w:pPr>
        <w:pStyle w:val="Heading2"/>
        <w:keepNext w:val="true"/>
        <w:spacing w:before="240" w:after="120"/>
        <w:rPr/>
      </w:pPr>
      <w:bookmarkStart w:id="13" w:name="__RefHeading___Toc2905_256807712"/>
      <w:bookmarkEnd w:id="13"/>
      <w:r>
        <w:rPr>
          <w:rFonts w:eastAsia="Calibri" w:cs="Calibri" w:ascii="Calibri" w:hAnsi="Calibri"/>
          <w:b/>
          <w:bCs/>
          <w:color w:val="1F3864"/>
          <w:sz w:val="26"/>
          <w:szCs w:val="26"/>
        </w:rPr>
        <w:t>2.7 Verificación de los objetos creados</w:t>
      </w:r>
    </w:p>
    <w:p>
      <w:pPr>
        <w:pStyle w:val="Normal"/>
        <w:spacing w:lineRule="exact" w:line="276" w:before="0" w:after="120"/>
        <w:jc w:val="both"/>
        <w:rPr/>
      </w:pPr>
      <w:r>
        <w:rPr>
          <w:rFonts w:eastAsia="Calibri" w:cs="Calibri"/>
          <w:sz w:val="22"/>
          <w:szCs w:val="22"/>
        </w:rPr>
        <w:t xml:space="preserve">Antes de tomar las demás evidencias se comprobó que todos los objetos compilaran. La Figura 9 lista los objetos del esquema: el package y su cuerpo, los procedimientos y los dos triggers figuran en estado VALID (20 filas en total), y la consulta a </w:t>
      </w:r>
      <w:r>
        <w:rPr>
          <w:rFonts w:eastAsia="Courier New" w:cs="Courier New" w:ascii="Courier New" w:hAnsi="Courier New"/>
          <w:color w:val="7A1F1F"/>
          <w:sz w:val="20"/>
          <w:szCs w:val="20"/>
        </w:rPr>
        <w:t>user_errors</w:t>
      </w:r>
      <w:r>
        <w:rPr>
          <w:rFonts w:eastAsia="Calibri" w:cs="Calibri"/>
          <w:sz w:val="22"/>
          <w:szCs w:val="22"/>
        </w:rPr>
        <w:t xml:space="preserve"> no devuelve filas, es decir, no hay errores de compilación. La lista incluye además funciones internas de Oracle (</w:t>
      </w:r>
      <w:r>
        <w:rPr>
          <w:rFonts w:eastAsia="Courier New" w:cs="Courier New" w:ascii="Courier New" w:hAnsi="Courier New"/>
          <w:color w:val="7A1F1F"/>
          <w:sz w:val="20"/>
          <w:szCs w:val="20"/>
        </w:rPr>
        <w:t>LOGMNR$…</w:t>
      </w:r>
      <w:r>
        <w:rPr>
          <w:rFonts w:eastAsia="Calibri" w:cs="Calibri"/>
          <w:sz w:val="22"/>
          <w:szCs w:val="22"/>
        </w:rPr>
        <w:t xml:space="preserve">) porque la conexión es el usuario SYSTEM. La captura también muestra el procedimiento auxiliar </w:t>
      </w:r>
      <w:r>
        <w:rPr>
          <w:rFonts w:eastAsia="Courier New" w:cs="Courier New" w:ascii="Courier New" w:hAnsi="Courier New"/>
          <w:color w:val="7A1F1F"/>
          <w:sz w:val="20"/>
          <w:szCs w:val="20"/>
        </w:rPr>
        <w:t>pr_demo_reiniciar</w:t>
      </w:r>
      <w:r>
        <w:rPr>
          <w:rFonts w:eastAsia="Calibri" w:cs="Calibri"/>
          <w:sz w:val="22"/>
          <w:szCs w:val="22"/>
        </w:rPr>
        <w:t>, que existe solo para dejar la bitácora limpia entre pruebas y no forma parte del sistema.</w:t>
      </w:r>
    </w:p>
    <w:p>
      <w:pPr>
        <w:pStyle w:val="Normal"/>
        <w:keepNext w:val="true"/>
        <w:spacing w:before="120" w:after="0"/>
        <w:jc w:val="center"/>
        <w:rPr/>
      </w:pPr>
      <w:r>
        <w:rPr/>
        <w:drawing>
          <wp:inline distT="0" distB="0" distL="0" distR="0">
            <wp:extent cx="5715000" cy="3257550"/>
            <wp:effectExtent l="0" t="0" r="0" b="0"/>
            <wp:docPr id="6" name="E00" descr="E00&#10;Objetos del esquema en estado VALID y ausencia de errores de comp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00" descr="E00&#10;Objetos del esquema en estado VALID y ausencia de errores de compilación."/>
                    <pic:cNvPicPr>
                      <a:picLocks noChangeAspect="1" noChangeArrowheads="1"/>
                    </pic:cNvPicPr>
                  </pic:nvPicPr>
                  <pic:blipFill>
                    <a:blip r:embed="rId7"/>
                    <a:stretch>
                      <a:fillRect/>
                    </a:stretch>
                  </pic:blipFill>
                  <pic:spPr bwMode="auto">
                    <a:xfrm>
                      <a:off x="0" y="0"/>
                      <a:ext cx="5715000" cy="3257550"/>
                    </a:xfrm>
                    <a:prstGeom prst="rect">
                      <a:avLst/>
                    </a:prstGeom>
                  </pic:spPr>
                </pic:pic>
              </a:graphicData>
            </a:graphic>
          </wp:inline>
        </w:drawing>
      </w:r>
    </w:p>
    <w:p>
      <w:pPr>
        <w:pStyle w:val="Normal"/>
        <w:spacing w:before="80" w:after="220"/>
        <w:jc w:val="center"/>
        <w:rPr/>
      </w:pPr>
      <w:r>
        <w:rPr>
          <w:rFonts w:eastAsia="Calibri" w:cs="Calibri"/>
          <w:i/>
          <w:iCs/>
          <w:sz w:val="19"/>
          <w:szCs w:val="19"/>
        </w:rPr>
        <w:t>Figura 9: Objetos del esquema en estado VALID y ausencia de errores de compilación.</w:t>
      </w:r>
      <w:r>
        <w:br w:type="page"/>
      </w:r>
    </w:p>
    <w:p>
      <w:pPr>
        <w:pStyle w:val="Heading1"/>
        <w:spacing w:before="240" w:after="160"/>
        <w:rPr/>
      </w:pPr>
      <w:bookmarkStart w:id="14" w:name="__RefHeading___Toc2907_256807712"/>
      <w:bookmarkEnd w:id="14"/>
      <w:r>
        <w:rPr>
          <w:rFonts w:eastAsia="Calibri" w:cs="Calibri" w:ascii="Calibri" w:hAnsi="Calibri"/>
          <w:b/>
          <w:bCs/>
          <w:color w:val="1F3864"/>
          <w:sz w:val="32"/>
          <w:szCs w:val="32"/>
        </w:rPr>
        <w:t>3. Desarrollo de packages</w:t>
      </w:r>
    </w:p>
    <w:p>
      <w:pPr>
        <w:pStyle w:val="Normal"/>
        <w:spacing w:before="0" w:after="140"/>
        <w:rPr/>
      </w:pPr>
      <w:r>
        <w:rPr>
          <w:rFonts w:eastAsia="Calibri" w:cs="Calibri"/>
          <w:i/>
          <w:iCs/>
          <w:color w:val="595959"/>
          <w:sz w:val="20"/>
          <w:szCs w:val="20"/>
        </w:rPr>
        <w:t>Desarrollado por: Pablo Quintino</w:t>
      </w:r>
    </w:p>
    <w:p>
      <w:pPr>
        <w:pStyle w:val="Heading2"/>
        <w:keepNext w:val="true"/>
        <w:spacing w:before="240" w:after="120"/>
        <w:rPr/>
      </w:pPr>
      <w:bookmarkStart w:id="15" w:name="__RefHeading___Toc2909_256807712"/>
      <w:bookmarkEnd w:id="15"/>
      <w:r>
        <w:rPr>
          <w:rFonts w:eastAsia="Calibri" w:cs="Calibri" w:ascii="Calibri" w:hAnsi="Calibri"/>
          <w:b/>
          <w:bCs/>
          <w:color w:val="1F3864"/>
          <w:sz w:val="26"/>
          <w:szCs w:val="26"/>
        </w:rPr>
        <w:t>3.1 Definición</w:t>
      </w:r>
    </w:p>
    <w:p>
      <w:pPr>
        <w:pStyle w:val="Normal"/>
        <w:spacing w:lineRule="exact" w:line="276" w:before="0" w:after="120"/>
        <w:jc w:val="both"/>
        <w:rPr/>
      </w:pPr>
      <w:r>
        <w:rPr>
          <w:rFonts w:eastAsia="Calibri" w:cs="Calibri"/>
          <w:sz w:val="22"/>
          <w:szCs w:val="22"/>
        </w:rPr>
        <w:t xml:space="preserve">Un package es un objeto de la base de datos que agrupa elementos PL/SQL relacionados (constantes, excepciones, funciones y procedimientos) y se compone de dos partes. La </w:t>
      </w:r>
      <w:r>
        <w:rPr>
          <w:rFonts w:eastAsia="Calibri" w:cs="Calibri"/>
          <w:b/>
          <w:bCs/>
          <w:sz w:val="22"/>
          <w:szCs w:val="22"/>
        </w:rPr>
        <w:t>especificación</w:t>
      </w:r>
      <w:r>
        <w:rPr>
          <w:rFonts w:eastAsia="Calibri" w:cs="Calibri"/>
          <w:sz w:val="22"/>
          <w:szCs w:val="22"/>
        </w:rPr>
        <w:t xml:space="preserve"> declara lo público, es decir, lo que otros programas pueden usar. El </w:t>
      </w:r>
      <w:r>
        <w:rPr>
          <w:rFonts w:eastAsia="Calibri" w:cs="Calibri"/>
          <w:b/>
          <w:bCs/>
          <w:sz w:val="22"/>
          <w:szCs w:val="22"/>
        </w:rPr>
        <w:t>cuerpo</w:t>
      </w:r>
      <w:r>
        <w:rPr>
          <w:rFonts w:eastAsia="Calibri" w:cs="Calibri"/>
          <w:sz w:val="22"/>
          <w:szCs w:val="22"/>
        </w:rPr>
        <w:t xml:space="preserve"> implementa lo declarado y puede contener elementos adicionales que no aparecen en la especificación; esos son privados y solo se pueden usar desde dentro del propio cuerpo.</w:t>
      </w:r>
    </w:p>
    <w:p>
      <w:pPr>
        <w:pStyle w:val="Heading2"/>
        <w:keepNext w:val="true"/>
        <w:spacing w:before="240" w:after="120"/>
        <w:rPr/>
      </w:pPr>
      <w:bookmarkStart w:id="16" w:name="__RefHeading___Toc2911_256807712"/>
      <w:bookmarkEnd w:id="16"/>
      <w:r>
        <w:rPr>
          <w:rFonts w:eastAsia="Calibri" w:cs="Calibri" w:ascii="Calibri" w:hAnsi="Calibri"/>
          <w:b/>
          <w:bCs/>
          <w:color w:val="1F3864"/>
          <w:sz w:val="26"/>
          <w:szCs w:val="26"/>
        </w:rPr>
        <w:t>3.2 Ventajas y desventajas</w:t>
      </w:r>
    </w:p>
    <w:tbl>
      <w:tblPr>
        <w:tblW w:w="9360" w:type="dxa"/>
        <w:jc w:val="left"/>
        <w:tblInd w:w="0" w:type="dxa"/>
        <w:tblLayout w:type="fixed"/>
        <w:tblCellMar>
          <w:top w:w="60" w:type="dxa"/>
          <w:left w:w="100" w:type="dxa"/>
          <w:bottom w:w="60" w:type="dxa"/>
          <w:right w:w="100" w:type="dxa"/>
        </w:tblCellMar>
      </w:tblPr>
      <w:tblGrid>
        <w:gridCol w:w="4680"/>
        <w:gridCol w:w="4679"/>
      </w:tblGrid>
      <w:tr>
        <w:trPr>
          <w:tblHeader w:val="true"/>
        </w:trPr>
        <w:tc>
          <w:tcPr>
            <w:tcW w:w="46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Ventajas</w:t>
            </w:r>
          </w:p>
        </w:tc>
        <w:tc>
          <w:tcPr>
            <w:tcW w:w="46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Desventajas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Encapsulamiento: lo privado se puede cambiar sin afectar a quienes usan lo público.</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Al invocar un elemento se carga todo el package en memoria, aunque se necesite solo una función.</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Orden: agrupa en un solo lugar la lógica de un mismo tema.</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Modificar la especificación invalida a los objetos que la usan; el cuerpo se puede cambiar sin ese efecto.</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Constantes y excepciones compartidas, definidas una sola vez.</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Requiere más planificación inicial que escribir subprogramas sueltos.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Permite reducir dependencias: los programas dependen de la especificación, no de la implementación.</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 el package duplica lógica de objetos independientes, hay que mantenerlas sincronizadas.</w:t>
            </w:r>
          </w:p>
        </w:tc>
      </w:tr>
    </w:tbl>
    <w:p>
      <w:pPr>
        <w:pStyle w:val="Normal"/>
        <w:spacing w:before="0" w:after="120"/>
        <w:rPr/>
      </w:pPr>
      <w:r>
        <w:rPr/>
      </w:r>
    </w:p>
    <w:p>
      <w:pPr>
        <w:pStyle w:val="Heading2"/>
        <w:keepNext w:val="true"/>
        <w:spacing w:before="240" w:after="120"/>
        <w:rPr/>
      </w:pPr>
      <w:bookmarkStart w:id="17" w:name="__RefHeading___Toc2913_256807712"/>
      <w:bookmarkEnd w:id="17"/>
      <w:r>
        <w:rPr>
          <w:rFonts w:eastAsia="Calibri" w:cs="Calibri" w:ascii="Calibri" w:hAnsi="Calibri"/>
          <w:b/>
          <w:bCs/>
          <w:color w:val="1F3864"/>
          <w:sz w:val="26"/>
          <w:szCs w:val="26"/>
        </w:rPr>
        <w:t>3.3 Organización del código</w:t>
      </w:r>
    </w:p>
    <w:p>
      <w:pPr>
        <w:pStyle w:val="Normal"/>
        <w:spacing w:lineRule="exact" w:line="276" w:before="0" w:after="120"/>
        <w:jc w:val="both"/>
        <w:rPr/>
      </w:pPr>
      <w:r>
        <w:rPr>
          <w:rFonts w:eastAsia="Calibri" w:cs="Calibri"/>
          <w:sz w:val="22"/>
          <w:szCs w:val="22"/>
        </w:rPr>
        <w:t xml:space="preserve">El package </w:t>
      </w:r>
      <w:r>
        <w:rPr>
          <w:rFonts w:eastAsia="Courier New" w:cs="Courier New" w:ascii="Courier New" w:hAnsi="Courier New"/>
          <w:color w:val="7A1F1F"/>
          <w:sz w:val="20"/>
          <w:szCs w:val="20"/>
        </w:rPr>
        <w:t>techmarket_beneficios</w:t>
      </w:r>
      <w:r>
        <w:rPr>
          <w:rFonts w:eastAsia="Calibri" w:cs="Calibri"/>
          <w:sz w:val="22"/>
          <w:szCs w:val="22"/>
        </w:rPr>
        <w:t xml:space="preserve"> reemplaza al de EP1 y se organiza así:</w:t>
      </w:r>
    </w:p>
    <w:tbl>
      <w:tblPr>
        <w:tblW w:w="9360" w:type="dxa"/>
        <w:jc w:val="left"/>
        <w:tblInd w:w="0" w:type="dxa"/>
        <w:tblLayout w:type="fixed"/>
        <w:tblCellMar>
          <w:top w:w="60" w:type="dxa"/>
          <w:left w:w="100" w:type="dxa"/>
          <w:bottom w:w="60" w:type="dxa"/>
          <w:right w:w="100" w:type="dxa"/>
        </w:tblCellMar>
      </w:tblPr>
      <w:tblGrid>
        <w:gridCol w:w="2299"/>
        <w:gridCol w:w="1501"/>
        <w:gridCol w:w="5560"/>
      </w:tblGrid>
      <w:tr>
        <w:trPr>
          <w:tblHeader w:val="true"/>
        </w:trPr>
        <w:tc>
          <w:tcPr>
            <w:tcW w:w="22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Elemento</w:t>
            </w:r>
          </w:p>
        </w:tc>
        <w:tc>
          <w:tcPr>
            <w:tcW w:w="15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Visibilidad</w:t>
            </w:r>
          </w:p>
        </w:tc>
        <w:tc>
          <w:tcPr>
            <w:tcW w:w="556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Descripción</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c_umbral_silver, c_umbral_gold, c_umbral_platinum</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Constantes con los umbrales 300.000, 700.000 y 1.500.000.</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ex_periodo_invalido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 xml:space="preserve">Excepción asociada a </w:t>
            </w:r>
            <w:r>
              <w:rPr>
                <w:rFonts w:eastAsia="Courier New" w:cs="Courier New" w:ascii="Courier New" w:hAnsi="Courier New"/>
                <w:color w:val="7A1F1F"/>
                <w:sz w:val="17"/>
                <w:szCs w:val="17"/>
              </w:rPr>
              <w:t>ORA-20001</w:t>
            </w:r>
            <w:r>
              <w:rPr>
                <w:rFonts w:eastAsia="Calibri" w:cs="Calibri"/>
                <w:sz w:val="19"/>
                <w:szCs w:val="19"/>
              </w:rPr>
              <w:t>; otros bloques pueden capturarla por nombre.</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calcular_categoria, calcular_beneficio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Clasifican un total comprado usando las constantes de umbral.</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procesar_beneficios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Valida el período e inserta en la bitácora, con un solo INSERT … SELECT, a todos los clientes de la sucursal.</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mostrar_resumen_cliente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Imprime total, categoría y beneficio de un cliente, con el monto formateado.</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fn_formatear_monto_privado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Privado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Da formato chileno al monto (por ejemplo, $1.339.950).</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pr_validar_periodo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Privado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 xml:space="preserve">Lanza </w:t>
            </w:r>
            <w:r>
              <w:rPr>
                <w:rFonts w:eastAsia="Courier New" w:cs="Courier New" w:ascii="Courier New" w:hAnsi="Courier New"/>
                <w:color w:val="7A1F1F"/>
                <w:sz w:val="17"/>
                <w:szCs w:val="17"/>
              </w:rPr>
              <w:t>ORA-20001</w:t>
            </w:r>
            <w:r>
              <w:rPr>
                <w:rFonts w:eastAsia="Calibri" w:cs="Calibri"/>
                <w:sz w:val="19"/>
                <w:szCs w:val="19"/>
              </w:rPr>
              <w:t xml:space="preserve"> si alguna fecha es nula o si la de inicio es posterior a la de fin.</w:t>
            </w:r>
          </w:p>
        </w:tc>
      </w:tr>
    </w:tbl>
    <w:p>
      <w:pPr>
        <w:pStyle w:val="Normal"/>
        <w:spacing w:before="0" w:after="120"/>
        <w:rPr/>
      </w:pPr>
      <w:r>
        <w:rPr/>
      </w:r>
    </w:p>
    <w:p>
      <w:pPr>
        <w:pStyle w:val="Normal"/>
        <w:spacing w:lineRule="exact" w:line="276" w:before="0" w:after="120"/>
        <w:jc w:val="both"/>
        <w:rPr/>
      </w:pPr>
      <w:r>
        <w:rPr>
          <w:rFonts w:eastAsia="Calibri" w:cs="Calibri"/>
          <w:sz w:val="22"/>
          <w:szCs w:val="22"/>
        </w:rPr>
        <w:t>Los dos elementos privados se escriben al inicio del cuerpo, antes de los públicos, porque PL/SQL exige declarar un subprograma antes de usarlo. Los umbrales se definen una sola vez como constantes, de manera que un cambio de regla se hace en un único punto del package.</w:t>
      </w:r>
    </w:p>
    <w:p>
      <w:pPr>
        <w:pStyle w:val="Heading2"/>
        <w:keepNext w:val="true"/>
        <w:spacing w:before="240" w:after="120"/>
        <w:rPr/>
      </w:pPr>
      <w:bookmarkStart w:id="18" w:name="__RefHeading___Toc2915_256807712"/>
      <w:bookmarkEnd w:id="18"/>
      <w:r>
        <w:rPr>
          <w:rFonts w:eastAsia="Calibri" w:cs="Calibri" w:ascii="Calibri" w:hAnsi="Calibri"/>
          <w:b/>
          <w:bCs/>
          <w:color w:val="1F3864"/>
          <w:sz w:val="26"/>
          <w:szCs w:val="26"/>
        </w:rPr>
        <w:t>3.4 Relación con procedimientos y funciones</w:t>
      </w:r>
    </w:p>
    <w:p>
      <w:pPr>
        <w:pStyle w:val="Normal"/>
        <w:spacing w:lineRule="exact" w:line="276" w:before="0" w:after="120"/>
        <w:jc w:val="both"/>
        <w:rPr/>
      </w:pPr>
      <w:r>
        <w:rPr>
          <w:rFonts w:eastAsia="Calibri" w:cs="Calibri"/>
          <w:sz w:val="22"/>
          <w:szCs w:val="22"/>
        </w:rPr>
        <w:t xml:space="preserve">El package no reemplaza a los subprogramas independientes, sino que se apoya en ellos y ellos en él. </w:t>
      </w:r>
      <w:r>
        <w:rPr>
          <w:rFonts w:eastAsia="Courier New" w:cs="Courier New" w:ascii="Courier New" w:hAnsi="Courier New"/>
          <w:color w:val="7A1F1F"/>
          <w:sz w:val="20"/>
          <w:szCs w:val="20"/>
        </w:rPr>
        <w:t>mostrar_resumen_cliente</w:t>
      </w:r>
      <w:r>
        <w:rPr>
          <w:rFonts w:eastAsia="Calibri" w:cs="Calibri"/>
          <w:sz w:val="22"/>
          <w:szCs w:val="22"/>
        </w:rPr>
        <w:t xml:space="preserve"> llama a la función independiente </w:t>
      </w:r>
      <w:r>
        <w:rPr>
          <w:rFonts w:eastAsia="Courier New" w:cs="Courier New" w:ascii="Courier New" w:hAnsi="Courier New"/>
          <w:color w:val="7A1F1F"/>
          <w:sz w:val="20"/>
          <w:szCs w:val="20"/>
        </w:rPr>
        <w:t>fn_total_cliente</w:t>
      </w:r>
      <w:r>
        <w:rPr>
          <w:rFonts w:eastAsia="Calibri" w:cs="Calibri"/>
          <w:sz w:val="22"/>
          <w:szCs w:val="22"/>
        </w:rPr>
        <w:t xml:space="preserve"> y a sus propias funciones de categoría y beneficio. En sentido contrario, </w:t>
      </w:r>
      <w:r>
        <w:rPr>
          <w:rFonts w:eastAsia="Courier New" w:cs="Courier New" w:ascii="Courier New" w:hAnsi="Courier New"/>
          <w:color w:val="7A1F1F"/>
          <w:sz w:val="20"/>
          <w:szCs w:val="20"/>
        </w:rPr>
        <w:t>pr_procesar_todas_sucursales</w:t>
      </w:r>
      <w:r>
        <w:rPr>
          <w:rFonts w:eastAsia="Calibri" w:cs="Calibri"/>
          <w:sz w:val="22"/>
          <w:szCs w:val="22"/>
        </w:rPr>
        <w:t xml:space="preserve"> y </w:t>
      </w:r>
      <w:r>
        <w:rPr>
          <w:rFonts w:eastAsia="Courier New" w:cs="Courier New" w:ascii="Courier New" w:hAnsi="Courier New"/>
          <w:color w:val="7A1F1F"/>
          <w:sz w:val="20"/>
          <w:szCs w:val="20"/>
        </w:rPr>
        <w:t>pr_demo_reiniciar</w:t>
      </w:r>
      <w:r>
        <w:rPr>
          <w:rFonts w:eastAsia="Calibri" w:cs="Calibri"/>
          <w:sz w:val="22"/>
          <w:szCs w:val="22"/>
        </w:rPr>
        <w:t xml:space="preserve"> llaman a </w:t>
      </w:r>
      <w:r>
        <w:rPr>
          <w:rFonts w:eastAsia="Courier New" w:cs="Courier New" w:ascii="Courier New" w:hAnsi="Courier New"/>
          <w:color w:val="7A1F1F"/>
          <w:sz w:val="20"/>
          <w:szCs w:val="20"/>
        </w:rPr>
        <w:t>techmarket_beneficios.procesar_beneficios</w:t>
      </w:r>
      <w:r>
        <w:rPr>
          <w:rFonts w:eastAsia="Calibri" w:cs="Calibri"/>
          <w:sz w:val="22"/>
          <w:szCs w:val="22"/>
        </w:rPr>
        <w:t xml:space="preserve">. Las funciones </w:t>
      </w:r>
      <w:r>
        <w:rPr>
          <w:rFonts w:eastAsia="Courier New" w:cs="Courier New" w:ascii="Courier New" w:hAnsi="Courier New"/>
          <w:color w:val="7A1F1F"/>
          <w:sz w:val="20"/>
          <w:szCs w:val="20"/>
        </w:rPr>
        <w:t>calcular_categoria</w:t>
      </w:r>
      <w:r>
        <w:rPr>
          <w:rFonts w:eastAsia="Calibri" w:cs="Calibri"/>
          <w:sz w:val="22"/>
          <w:szCs w:val="22"/>
        </w:rPr>
        <w:t xml:space="preserve"> y </w:t>
      </w:r>
      <w:r>
        <w:rPr>
          <w:rFonts w:eastAsia="Courier New" w:cs="Courier New" w:ascii="Courier New" w:hAnsi="Courier New"/>
          <w:color w:val="7A1F1F"/>
          <w:sz w:val="20"/>
          <w:szCs w:val="20"/>
        </w:rPr>
        <w:t>calcular_beneficio</w:t>
      </w:r>
      <w:r>
        <w:rPr>
          <w:rFonts w:eastAsia="Calibri" w:cs="Calibri"/>
          <w:sz w:val="22"/>
          <w:szCs w:val="22"/>
        </w:rPr>
        <w:t xml:space="preserve"> de EP1 siguen existiendo como objetos independientes, y el package ofrece su propia versión; la comparación de la Figura 4 muestra que ambas dan el mismo resultado. El diagrama de dependencias (Anexo D, Figura 20) resume todas estas relaciones.</w:t>
      </w:r>
    </w:p>
    <w:p>
      <w:pPr>
        <w:pStyle w:val="Heading2"/>
        <w:keepNext w:val="true"/>
        <w:spacing w:before="240" w:after="120"/>
        <w:rPr/>
      </w:pPr>
      <w:bookmarkStart w:id="19" w:name="__RefHeading___Toc2917_256807712"/>
      <w:bookmarkEnd w:id="19"/>
      <w:r>
        <w:rPr>
          <w:rFonts w:eastAsia="Calibri" w:cs="Calibri" w:ascii="Calibri" w:hAnsi="Calibri"/>
          <w:b/>
          <w:bCs/>
          <w:color w:val="1F3864"/>
          <w:sz w:val="26"/>
          <w:szCs w:val="26"/>
        </w:rPr>
        <w:t>3.5 Demostración de elementos públicos</w:t>
      </w:r>
    </w:p>
    <w:p>
      <w:pPr>
        <w:pStyle w:val="Normal"/>
        <w:spacing w:lineRule="exact" w:line="276" w:before="0" w:after="120"/>
        <w:jc w:val="both"/>
        <w:rPr/>
      </w:pPr>
      <w:r>
        <w:rPr>
          <w:rFonts w:eastAsia="Calibri" w:cs="Calibri"/>
          <w:sz w:val="22"/>
          <w:szCs w:val="22"/>
        </w:rPr>
        <w:t xml:space="preserve">La Figura 10 ejecuta primero </w:t>
      </w:r>
      <w:r>
        <w:rPr>
          <w:rFonts w:eastAsia="Courier New" w:cs="Courier New" w:ascii="Courier New" w:hAnsi="Courier New"/>
          <w:color w:val="7A1F1F"/>
          <w:sz w:val="20"/>
          <w:szCs w:val="20"/>
        </w:rPr>
        <w:t>DESC techmarket_beneficios</w:t>
      </w:r>
      <w:r>
        <w:rPr>
          <w:rFonts w:eastAsia="Calibri" w:cs="Calibri"/>
          <w:sz w:val="22"/>
          <w:szCs w:val="22"/>
        </w:rPr>
        <w:t>, que lista únicamente los cuatro subprogramas públicos (</w:t>
      </w:r>
      <w:r>
        <w:rPr>
          <w:rFonts w:eastAsia="Courier New" w:cs="Courier New" w:ascii="Courier New" w:hAnsi="Courier New"/>
          <w:color w:val="7A1F1F"/>
          <w:sz w:val="20"/>
          <w:szCs w:val="20"/>
        </w:rPr>
        <w:t>calcular_categoria</w:t>
      </w:r>
      <w:r>
        <w:rPr>
          <w:rFonts w:eastAsia="Calibri" w:cs="Calibri"/>
          <w:sz w:val="22"/>
          <w:szCs w:val="22"/>
        </w:rPr>
        <w:t xml:space="preserve">, </w:t>
      </w:r>
      <w:r>
        <w:rPr>
          <w:rFonts w:eastAsia="Courier New" w:cs="Courier New" w:ascii="Courier New" w:hAnsi="Courier New"/>
          <w:color w:val="7A1F1F"/>
          <w:sz w:val="20"/>
          <w:szCs w:val="20"/>
        </w:rPr>
        <w:t>calcular_beneficio</w:t>
      </w:r>
      <w:r>
        <w:rPr>
          <w:rFonts w:eastAsia="Calibri" w:cs="Calibri"/>
          <w:sz w:val="22"/>
          <w:szCs w:val="22"/>
        </w:rPr>
        <w:t xml:space="preserve">, </w:t>
      </w:r>
      <w:r>
        <w:rPr>
          <w:rFonts w:eastAsia="Courier New" w:cs="Courier New" w:ascii="Courier New" w:hAnsi="Courier New"/>
          <w:color w:val="7A1F1F"/>
          <w:sz w:val="20"/>
          <w:szCs w:val="20"/>
        </w:rPr>
        <w:t>procesar_beneficios</w:t>
      </w:r>
      <w:r>
        <w:rPr>
          <w:rFonts w:eastAsia="Calibri" w:cs="Calibri"/>
          <w:sz w:val="22"/>
          <w:szCs w:val="22"/>
        </w:rPr>
        <w:t xml:space="preserve"> y </w:t>
      </w:r>
      <w:r>
        <w:rPr>
          <w:rFonts w:eastAsia="Courier New" w:cs="Courier New" w:ascii="Courier New" w:hAnsi="Courier New"/>
          <w:color w:val="7A1F1F"/>
          <w:sz w:val="20"/>
          <w:szCs w:val="20"/>
        </w:rPr>
        <w:t>mostrar_resumen_cliente</w:t>
      </w:r>
      <w:r>
        <w:rPr>
          <w:rFonts w:eastAsia="Calibri" w:cs="Calibri"/>
          <w:sz w:val="22"/>
          <w:szCs w:val="22"/>
        </w:rPr>
        <w:t xml:space="preserve">). Después, un bloque anónimo lee las constantes públicas (300000, 700000 y 1500000), obtiene la categoría de 850000 (GOLD) y llama a </w:t>
      </w:r>
      <w:r>
        <w:rPr>
          <w:rFonts w:eastAsia="Courier New" w:cs="Courier New" w:ascii="Courier New" w:hAnsi="Courier New"/>
          <w:color w:val="7A1F1F"/>
          <w:sz w:val="20"/>
          <w:szCs w:val="20"/>
        </w:rPr>
        <w:t>mostrar_resumen_cliente</w:t>
      </w:r>
      <w:r>
        <w:rPr>
          <w:rFonts w:eastAsia="Calibri" w:cs="Calibri"/>
          <w:sz w:val="22"/>
          <w:szCs w:val="22"/>
        </w:rPr>
        <w:t xml:space="preserve"> para los clientes 101 y 104, con salidas “Cliente 101 | Total: $1.339.950 | GOLD | 15%” y “Cliente 104 | Total: $1.599.800 | PLATINUM | 20%”. El formato con puntos viene del elemento privado, que el bloque usa de forma indirecta.</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E07 – Pablo Quintino ]</w:t>
            </w:r>
          </w:p>
          <w:p>
            <w:pPr>
              <w:pStyle w:val="Normal"/>
              <w:jc w:val="center"/>
              <w:rPr/>
            </w:pPr>
            <w:r>
              <w:rPr>
                <w:rFonts w:eastAsia="Calibri" w:cs="Calibri"/>
                <w:i/>
                <w:iCs/>
                <w:sz w:val="18"/>
                <w:szCs w:val="18"/>
              </w:rPr>
              <w:t>Insertar aquí la captura. Resultado esperado: DESC con 4 subprogramas; umbrales 300000/700000/1500000; 850000 = GOLD; resúmenes de los clientes 101 y 104 con "$1.339.950" y "$1.599.800"</w:t>
            </w:r>
          </w:p>
        </w:tc>
      </w:tr>
    </w:tbl>
    <w:p>
      <w:pPr>
        <w:pStyle w:val="Normal"/>
        <w:spacing w:before="80" w:after="220"/>
        <w:jc w:val="center"/>
        <w:rPr/>
      </w:pPr>
      <w:r>
        <w:rPr>
          <w:rFonts w:eastAsia="Calibri" w:cs="Calibri"/>
          <w:i/>
          <w:iCs/>
          <w:sz w:val="19"/>
          <w:szCs w:val="19"/>
        </w:rPr>
        <w:t>Figura 10: DESC del package y uso de elementos públicos.</w:t>
      </w:r>
    </w:p>
    <w:p>
      <w:pPr>
        <w:pStyle w:val="Heading2"/>
        <w:keepNext w:val="true"/>
        <w:spacing w:before="240" w:after="120"/>
        <w:rPr/>
      </w:pPr>
      <w:bookmarkStart w:id="20" w:name="__RefHeading___Toc2919_256807712"/>
      <w:bookmarkEnd w:id="20"/>
      <w:r>
        <w:rPr>
          <w:rFonts w:eastAsia="Calibri" w:cs="Calibri" w:ascii="Calibri" w:hAnsi="Calibri"/>
          <w:b/>
          <w:bCs/>
          <w:color w:val="1F3864"/>
          <w:sz w:val="26"/>
          <w:szCs w:val="26"/>
        </w:rPr>
        <w:t>3.6 Demostración de elementos privados</w:t>
      </w:r>
    </w:p>
    <w:p>
      <w:pPr>
        <w:pStyle w:val="Normal"/>
        <w:spacing w:lineRule="exact" w:line="276" w:before="0" w:after="120"/>
        <w:jc w:val="both"/>
        <w:rPr/>
      </w:pPr>
      <w:r>
        <w:rPr>
          <w:rFonts w:eastAsia="Calibri" w:cs="Calibri"/>
          <w:sz w:val="22"/>
          <w:szCs w:val="22"/>
        </w:rPr>
        <w:t xml:space="preserve">Para comprobar que lo privado es inaccesible, la Figura 11 intenta llamar a </w:t>
      </w:r>
      <w:r>
        <w:rPr>
          <w:rFonts w:eastAsia="Courier New" w:cs="Courier New" w:ascii="Courier New" w:hAnsi="Courier New"/>
          <w:color w:val="7A1F1F"/>
          <w:sz w:val="20"/>
          <w:szCs w:val="20"/>
        </w:rPr>
        <w:t>techmarket_beneficios.fn_formatear_monto_privado(1000)</w:t>
      </w:r>
      <w:r>
        <w:rPr>
          <w:rFonts w:eastAsia="Calibri" w:cs="Calibri"/>
          <w:sz w:val="22"/>
          <w:szCs w:val="22"/>
        </w:rPr>
        <w:t xml:space="preserve"> desde fuera del package. Se usa </w:t>
      </w:r>
      <w:r>
        <w:rPr>
          <w:rFonts w:eastAsia="Courier New" w:cs="Courier New" w:ascii="Courier New" w:hAnsi="Courier New"/>
          <w:color w:val="7A1F1F"/>
          <w:sz w:val="20"/>
          <w:szCs w:val="20"/>
        </w:rPr>
        <w:t>EXECUTE IMMEDIATE</w:t>
      </w:r>
      <w:r>
        <w:rPr>
          <w:rFonts w:eastAsia="Calibri" w:cs="Calibri"/>
          <w:sz w:val="22"/>
          <w:szCs w:val="22"/>
        </w:rPr>
        <w:t xml:space="preserve"> para que el error se produzca al ejecutar y pueda mostrarse capturado; Oracle responde con el error de compilación </w:t>
      </w:r>
      <w:r>
        <w:rPr>
          <w:rFonts w:eastAsia="Courier New" w:cs="Courier New" w:ascii="Courier New" w:hAnsi="Courier New"/>
          <w:color w:val="7A1F1F"/>
          <w:sz w:val="20"/>
          <w:szCs w:val="20"/>
        </w:rPr>
        <w:t>PLS-00302</w:t>
      </w:r>
      <w:r>
        <w:rPr>
          <w:rFonts w:eastAsia="Calibri" w:cs="Calibri"/>
          <w:sz w:val="22"/>
          <w:szCs w:val="22"/>
        </w:rPr>
        <w:t xml:space="preserve"> (el componente debe declararse), porque ese nombre no está en la especificación. Una segunda consulta a </w:t>
      </w:r>
      <w:r>
        <w:rPr>
          <w:rFonts w:eastAsia="Courier New" w:cs="Courier New" w:ascii="Courier New" w:hAnsi="Courier New"/>
          <w:color w:val="7A1F1F"/>
          <w:sz w:val="20"/>
          <w:szCs w:val="20"/>
        </w:rPr>
        <w:t>user_source</w:t>
      </w:r>
      <w:r>
        <w:rPr>
          <w:rFonts w:eastAsia="Calibri" w:cs="Calibri"/>
          <w:sz w:val="22"/>
          <w:szCs w:val="22"/>
        </w:rPr>
        <w:t xml:space="preserve"> confirma que </w:t>
      </w:r>
      <w:r>
        <w:rPr>
          <w:rFonts w:eastAsia="Courier New" w:cs="Courier New" w:ascii="Courier New" w:hAnsi="Courier New"/>
          <w:color w:val="7A1F1F"/>
          <w:sz w:val="20"/>
          <w:szCs w:val="20"/>
        </w:rPr>
        <w:t>fn_formatear_monto_privado</w:t>
      </w:r>
      <w:r>
        <w:rPr>
          <w:rFonts w:eastAsia="Calibri" w:cs="Calibri"/>
          <w:sz w:val="22"/>
          <w:szCs w:val="22"/>
        </w:rPr>
        <w:t xml:space="preserve"> y </w:t>
      </w:r>
      <w:r>
        <w:rPr>
          <w:rFonts w:eastAsia="Courier New" w:cs="Courier New" w:ascii="Courier New" w:hAnsi="Courier New"/>
          <w:color w:val="7A1F1F"/>
          <w:sz w:val="20"/>
          <w:szCs w:val="20"/>
        </w:rPr>
        <w:t>pr_validar_periodo</w:t>
      </w:r>
      <w:r>
        <w:rPr>
          <w:rFonts w:eastAsia="Calibri" w:cs="Calibri"/>
          <w:sz w:val="22"/>
          <w:szCs w:val="22"/>
        </w:rPr>
        <w:t xml:space="preserve"> aparecen únicamente en el </w:t>
      </w:r>
      <w:r>
        <w:rPr>
          <w:rFonts w:eastAsia="Courier New" w:cs="Courier New" w:ascii="Courier New" w:hAnsi="Courier New"/>
          <w:color w:val="7A1F1F"/>
          <w:sz w:val="20"/>
          <w:szCs w:val="20"/>
        </w:rPr>
        <w:t>PACKAGE BODY</w:t>
      </w:r>
      <w:r>
        <w:rPr>
          <w:rFonts w:eastAsia="Calibri" w:cs="Calibri"/>
          <w:sz w:val="22"/>
          <w:szCs w:val="22"/>
        </w:rPr>
        <w:t xml:space="preserve"> y no en la especificación.</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E08 – Pablo Quintino ]</w:t>
            </w:r>
          </w:p>
          <w:p>
            <w:pPr>
              <w:pStyle w:val="Normal"/>
              <w:jc w:val="center"/>
              <w:rPr/>
            </w:pPr>
            <w:r>
              <w:rPr>
                <w:rFonts w:eastAsia="Calibri" w:cs="Calibri"/>
                <w:i/>
                <w:iCs/>
                <w:sz w:val="18"/>
                <w:szCs w:val="18"/>
              </w:rPr>
              <w:t>Insertar aquí la captura. Resultado esperado: Error ORA-06550/PLS-00302 y filas solo de tipo PACKAGE BODY</w:t>
            </w:r>
          </w:p>
        </w:tc>
      </w:tr>
    </w:tbl>
    <w:p>
      <w:pPr>
        <w:pStyle w:val="Normal"/>
        <w:spacing w:before="80" w:after="220"/>
        <w:jc w:val="center"/>
        <w:rPr/>
      </w:pPr>
      <w:r>
        <w:rPr>
          <w:rFonts w:eastAsia="Calibri" w:cs="Calibri"/>
          <w:i/>
          <w:iCs/>
          <w:sz w:val="19"/>
          <w:szCs w:val="19"/>
        </w:rPr>
        <w:t>Figura 11: Intento de acceso a un elemento privado y búsqueda en USER_SOURCE.</w:t>
      </w:r>
      <w:r>
        <w:br w:type="page"/>
      </w:r>
    </w:p>
    <w:p>
      <w:pPr>
        <w:pStyle w:val="Heading1"/>
        <w:spacing w:before="240" w:after="160"/>
        <w:rPr/>
      </w:pPr>
      <w:bookmarkStart w:id="21" w:name="__RefHeading___Toc2921_256807712"/>
      <w:bookmarkEnd w:id="21"/>
      <w:r>
        <w:rPr>
          <w:rFonts w:eastAsia="Calibri" w:cs="Calibri" w:ascii="Calibri" w:hAnsi="Calibri"/>
          <w:b/>
          <w:bCs/>
          <w:color w:val="1F3864"/>
          <w:sz w:val="32"/>
          <w:szCs w:val="32"/>
        </w:rPr>
        <w:t>4. Desarrollo de triggers</w:t>
      </w:r>
    </w:p>
    <w:p>
      <w:pPr>
        <w:pStyle w:val="Normal"/>
        <w:spacing w:before="0" w:after="140"/>
        <w:rPr/>
      </w:pPr>
      <w:r>
        <w:rPr>
          <w:rFonts w:eastAsia="Calibri" w:cs="Calibri"/>
          <w:i/>
          <w:iCs/>
          <w:color w:val="595959"/>
          <w:sz w:val="20"/>
          <w:szCs w:val="20"/>
        </w:rPr>
        <w:t>Desarrollado por: Danyer Cordova</w:t>
      </w:r>
    </w:p>
    <w:p>
      <w:pPr>
        <w:pStyle w:val="Heading2"/>
        <w:keepNext w:val="true"/>
        <w:spacing w:before="240" w:after="120"/>
        <w:rPr/>
      </w:pPr>
      <w:bookmarkStart w:id="22" w:name="__RefHeading___Toc2923_256807712"/>
      <w:bookmarkEnd w:id="22"/>
      <w:r>
        <w:rPr>
          <w:rFonts w:eastAsia="Calibri" w:cs="Calibri" w:ascii="Calibri" w:hAnsi="Calibri"/>
          <w:b/>
          <w:bCs/>
          <w:color w:val="1F3864"/>
          <w:sz w:val="26"/>
          <w:szCs w:val="26"/>
        </w:rPr>
        <w:t>4.1 Definición</w:t>
      </w:r>
    </w:p>
    <w:p>
      <w:pPr>
        <w:pStyle w:val="Normal"/>
        <w:spacing w:lineRule="exact" w:line="276" w:before="0" w:after="120"/>
        <w:jc w:val="both"/>
        <w:rPr/>
      </w:pPr>
      <w:r>
        <w:rPr>
          <w:rFonts w:eastAsia="Calibri" w:cs="Calibri"/>
          <w:sz w:val="22"/>
          <w:szCs w:val="22"/>
        </w:rPr>
        <w:t xml:space="preserve">Un trigger es un bloque PL/SQL asociado a una tabla que Oracle ejecuta automáticamente cuando ocurre un evento (INSERT, UPDATE o DELETE). Según su nivel puede ser de </w:t>
      </w:r>
      <w:r>
        <w:rPr>
          <w:rFonts w:eastAsia="Calibri" w:cs="Calibri"/>
          <w:b/>
          <w:bCs/>
          <w:sz w:val="22"/>
          <w:szCs w:val="22"/>
        </w:rPr>
        <w:t>sentencia</w:t>
      </w:r>
      <w:r>
        <w:rPr>
          <w:rFonts w:eastAsia="Calibri" w:cs="Calibri"/>
          <w:sz w:val="22"/>
          <w:szCs w:val="22"/>
        </w:rPr>
        <w:t xml:space="preserve">, que se ejecuta una vez por sentencia SQL sin importar cuántas filas afecte, o de </w:t>
      </w:r>
      <w:r>
        <w:rPr>
          <w:rFonts w:eastAsia="Calibri" w:cs="Calibri"/>
          <w:b/>
          <w:bCs/>
          <w:sz w:val="22"/>
          <w:szCs w:val="22"/>
        </w:rPr>
        <w:t>fila</w:t>
      </w:r>
      <w:r>
        <w:rPr>
          <w:rFonts w:eastAsia="Calibri" w:cs="Calibri"/>
          <w:sz w:val="22"/>
          <w:szCs w:val="22"/>
        </w:rPr>
        <w:t xml:space="preserve"> (</w:t>
      </w:r>
      <w:r>
        <w:rPr>
          <w:rFonts w:eastAsia="Courier New" w:cs="Courier New" w:ascii="Courier New" w:hAnsi="Courier New"/>
          <w:color w:val="7A1F1F"/>
          <w:sz w:val="20"/>
          <w:szCs w:val="20"/>
        </w:rPr>
        <w:t>FOR EACH ROW</w:t>
      </w:r>
      <w:r>
        <w:rPr>
          <w:rFonts w:eastAsia="Calibri" w:cs="Calibri"/>
          <w:sz w:val="22"/>
          <w:szCs w:val="22"/>
        </w:rPr>
        <w:t xml:space="preserve">), que se ejecuta una vez por cada fila y puede leer los valores </w:t>
      </w:r>
      <w:r>
        <w:rPr>
          <w:rFonts w:eastAsia="Courier New" w:cs="Courier New" w:ascii="Courier New" w:hAnsi="Courier New"/>
          <w:color w:val="7A1F1F"/>
          <w:sz w:val="20"/>
          <w:szCs w:val="20"/>
        </w:rPr>
        <w:t>:OLD</w:t>
      </w:r>
      <w:r>
        <w:rPr>
          <w:rFonts w:eastAsia="Calibri" w:cs="Calibri"/>
          <w:sz w:val="22"/>
          <w:szCs w:val="22"/>
        </w:rPr>
        <w:t xml:space="preserve"> y </w:t>
      </w:r>
      <w:r>
        <w:rPr>
          <w:rFonts w:eastAsia="Courier New" w:cs="Courier New" w:ascii="Courier New" w:hAnsi="Courier New"/>
          <w:color w:val="7A1F1F"/>
          <w:sz w:val="20"/>
          <w:szCs w:val="20"/>
        </w:rPr>
        <w:t>:NEW</w:t>
      </w:r>
      <w:r>
        <w:rPr>
          <w:rFonts w:eastAsia="Calibri" w:cs="Calibri"/>
          <w:sz w:val="22"/>
          <w:szCs w:val="22"/>
        </w:rPr>
        <w:t xml:space="preserve">. Un </w:t>
      </w:r>
      <w:r>
        <w:rPr>
          <w:rFonts w:eastAsia="Calibri" w:cs="Calibri"/>
          <w:b/>
          <w:bCs/>
          <w:sz w:val="22"/>
          <w:szCs w:val="22"/>
        </w:rPr>
        <w:t>compound trigger</w:t>
      </w:r>
      <w:r>
        <w:rPr>
          <w:rFonts w:eastAsia="Calibri" w:cs="Calibri"/>
          <w:sz w:val="22"/>
          <w:szCs w:val="22"/>
        </w:rPr>
        <w:t xml:space="preserve"> reúne varios momentos de ejecución (antes y después, a nivel de sentencia y de fila) en un solo objeto y permite compartir variables entre ellos durante la misma sentencia.</w:t>
      </w:r>
    </w:p>
    <w:p>
      <w:pPr>
        <w:pStyle w:val="Heading2"/>
        <w:keepNext w:val="true"/>
        <w:spacing w:before="240" w:after="120"/>
        <w:rPr/>
      </w:pPr>
      <w:bookmarkStart w:id="23" w:name="__RefHeading___Toc2925_256807712"/>
      <w:bookmarkEnd w:id="23"/>
      <w:r>
        <w:rPr>
          <w:rFonts w:eastAsia="Calibri" w:cs="Calibri" w:ascii="Calibri" w:hAnsi="Calibri"/>
          <w:b/>
          <w:bCs/>
          <w:color w:val="1F3864"/>
          <w:sz w:val="26"/>
          <w:szCs w:val="26"/>
        </w:rPr>
        <w:t>4.2 Ventajas y desventajas</w:t>
      </w:r>
    </w:p>
    <w:tbl>
      <w:tblPr>
        <w:tblW w:w="9360" w:type="dxa"/>
        <w:jc w:val="left"/>
        <w:tblInd w:w="0" w:type="dxa"/>
        <w:tblLayout w:type="fixed"/>
        <w:tblCellMar>
          <w:top w:w="60" w:type="dxa"/>
          <w:left w:w="100" w:type="dxa"/>
          <w:bottom w:w="60" w:type="dxa"/>
          <w:right w:w="100" w:type="dxa"/>
        </w:tblCellMar>
      </w:tblPr>
      <w:tblGrid>
        <w:gridCol w:w="4680"/>
        <w:gridCol w:w="4679"/>
      </w:tblGrid>
      <w:tr>
        <w:trPr>
          <w:tblHeader w:val="true"/>
        </w:trPr>
        <w:tc>
          <w:tcPr>
            <w:tcW w:w="46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Ventajas</w:t>
            </w:r>
          </w:p>
        </w:tc>
        <w:tc>
          <w:tcPr>
            <w:tcW w:w="46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Desventajas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La auditoría ocurre siempre, sin depender de que cada programa se acuerde de registrarla.</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Se ejecutan de forma implícita, lo que dificulta entender y depurar qué ocurre tras una sentencia.</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Garantizan reglas desde la base de datos, sea cual sea el origen del cambio.</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Un trigger de fila en una operación masiva se ejecuta N veces y suma costo.</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El compound trigger evita varios triggers dispersos y comparte estado entre sus secciones.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Pueden encadenarse con otros triggers y generar errores como el de tabla mutante si se diseñan mal.</w:t>
            </w:r>
          </w:p>
        </w:tc>
      </w:tr>
    </w:tbl>
    <w:p>
      <w:pPr>
        <w:pStyle w:val="Normal"/>
        <w:spacing w:before="0" w:after="120"/>
        <w:rPr/>
      </w:pPr>
      <w:r>
        <w:rPr/>
      </w:r>
    </w:p>
    <w:p>
      <w:pPr>
        <w:pStyle w:val="Heading2"/>
        <w:keepNext w:val="true"/>
        <w:spacing w:before="240" w:after="120"/>
        <w:rPr/>
      </w:pPr>
      <w:bookmarkStart w:id="24" w:name="__RefHeading___Toc2927_256807712"/>
      <w:bookmarkEnd w:id="24"/>
      <w:r>
        <w:rPr>
          <w:rFonts w:eastAsia="Calibri" w:cs="Calibri" w:ascii="Calibri" w:hAnsi="Calibri"/>
          <w:b/>
          <w:bCs/>
          <w:color w:val="1F3864"/>
          <w:sz w:val="26"/>
          <w:szCs w:val="26"/>
        </w:rPr>
        <w:t>4.3 Propósito dentro del proyecto</w:t>
      </w:r>
    </w:p>
    <w:p>
      <w:pPr>
        <w:pStyle w:val="Normal"/>
        <w:spacing w:lineRule="exact" w:line="276" w:before="0" w:after="120"/>
        <w:jc w:val="both"/>
        <w:rPr/>
      </w:pPr>
      <w:r>
        <w:rPr>
          <w:rFonts w:eastAsia="Calibri" w:cs="Calibri"/>
          <w:sz w:val="22"/>
          <w:szCs w:val="22"/>
        </w:rPr>
        <w:t>Los triggers responden a la necesidad de saber quién modificó la bitácora de beneficios y cómo cambió la categoría de un cliente:</w:t>
      </w:r>
    </w:p>
    <w:tbl>
      <w:tblPr>
        <w:tblW w:w="9360" w:type="dxa"/>
        <w:jc w:val="left"/>
        <w:tblInd w:w="0" w:type="dxa"/>
        <w:tblLayout w:type="fixed"/>
        <w:tblCellMar>
          <w:top w:w="60" w:type="dxa"/>
          <w:left w:w="100" w:type="dxa"/>
          <w:bottom w:w="60" w:type="dxa"/>
          <w:right w:w="100" w:type="dxa"/>
        </w:tblCellMar>
      </w:tblPr>
      <w:tblGrid>
        <w:gridCol w:w="2799"/>
        <w:gridCol w:w="2100"/>
        <w:gridCol w:w="4461"/>
      </w:tblGrid>
      <w:tr>
        <w:trPr>
          <w:tblHeader w:val="true"/>
        </w:trPr>
        <w:tc>
          <w:tcPr>
            <w:tcW w:w="27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Trigger</w:t>
            </w:r>
          </w:p>
        </w:tc>
        <w:tc>
          <w:tcPr>
            <w:tcW w:w="21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Nivel / evento</w:t>
            </w:r>
          </w:p>
        </w:tc>
        <w:tc>
          <w:tcPr>
            <w:tcW w:w="446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Función</w:t>
            </w:r>
          </w:p>
        </w:tc>
      </w:tr>
      <w:tr>
        <w:trPr>
          <w:cantSplit w:val="true"/>
        </w:trPr>
        <w:tc>
          <w:tcPr>
            <w:tcW w:w="27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trg_auditoria_beneficios</w:t>
            </w:r>
          </w:p>
        </w:tc>
        <w:tc>
          <w:tcPr>
            <w:tcW w:w="21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Compound: sentencia y fila; INSERT y UPDATE</w:t>
            </w:r>
          </w:p>
        </w:tc>
        <w:tc>
          <w:tcPr>
            <w:tcW w:w="446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 xml:space="preserve">Guarda en </w:t>
            </w:r>
            <w:r>
              <w:rPr>
                <w:rFonts w:eastAsia="Courier New" w:cs="Courier New" w:ascii="Courier New" w:hAnsi="Courier New"/>
                <w:color w:val="7A1F1F"/>
                <w:sz w:val="17"/>
                <w:szCs w:val="17"/>
              </w:rPr>
              <w:t>auditoria_beneficios</w:t>
            </w:r>
            <w:r>
              <w:rPr>
                <w:rFonts w:eastAsia="Calibri" w:cs="Calibri"/>
                <w:sz w:val="19"/>
                <w:szCs w:val="19"/>
              </w:rPr>
              <w:t xml:space="preserve"> una fila por cada fila insertada o modificada, con usuario, fecha, categoría y total anterior y nuevo.</w:t>
            </w:r>
          </w:p>
        </w:tc>
      </w:tr>
      <w:tr>
        <w:trPr>
          <w:cantSplit w:val="true"/>
        </w:trPr>
        <w:tc>
          <w:tcPr>
            <w:tcW w:w="27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trg_bitacora_delete_stmt</w:t>
            </w:r>
          </w:p>
        </w:tc>
        <w:tc>
          <w:tcPr>
            <w:tcW w:w="21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Sentencia; AFTER DELETE</w:t>
            </w:r>
          </w:p>
        </w:tc>
        <w:tc>
          <w:tcPr>
            <w:tcW w:w="446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Registra una sola marca “DELETE” por cada sentencia de borrado, sin importar cuántas filas elimine.</w:t>
            </w:r>
          </w:p>
        </w:tc>
      </w:tr>
    </w:tbl>
    <w:p>
      <w:pPr>
        <w:pStyle w:val="Normal"/>
        <w:spacing w:before="0" w:after="120"/>
        <w:rPr/>
      </w:pPr>
      <w:r>
        <w:rPr/>
      </w:r>
    </w:p>
    <w:p>
      <w:pPr>
        <w:pStyle w:val="Heading2"/>
        <w:keepNext w:val="true"/>
        <w:spacing w:before="240" w:after="120"/>
        <w:rPr/>
      </w:pPr>
      <w:bookmarkStart w:id="25" w:name="__RefHeading___Toc2929_256807712"/>
      <w:bookmarkEnd w:id="25"/>
      <w:r>
        <w:rPr>
          <w:rFonts w:eastAsia="Calibri" w:cs="Calibri" w:ascii="Calibri" w:hAnsi="Calibri"/>
          <w:b/>
          <w:bCs/>
          <w:color w:val="1F3864"/>
          <w:sz w:val="26"/>
          <w:szCs w:val="26"/>
        </w:rPr>
        <w:t>4.4 Diseño del compound trigger</w:t>
      </w:r>
    </w:p>
    <w:p>
      <w:pPr>
        <w:pStyle w:val="Normal"/>
        <w:spacing w:lineRule="exact" w:line="276" w:before="0" w:after="120"/>
        <w:jc w:val="both"/>
        <w:rPr/>
      </w:pPr>
      <w:r>
        <w:rPr>
          <w:rFonts w:eastAsia="Courier New" w:cs="Courier New" w:ascii="Courier New" w:hAnsi="Courier New"/>
          <w:color w:val="7A1F1F"/>
          <w:sz w:val="20"/>
          <w:szCs w:val="20"/>
        </w:rPr>
        <w:t>trg_auditoria_beneficios</w:t>
      </w:r>
      <w:r>
        <w:rPr>
          <w:rFonts w:eastAsia="Calibri" w:cs="Calibri"/>
          <w:sz w:val="22"/>
          <w:szCs w:val="22"/>
        </w:rPr>
        <w:t xml:space="preserve"> se declara como </w:t>
      </w:r>
      <w:r>
        <w:rPr>
          <w:rFonts w:eastAsia="Courier New" w:cs="Courier New" w:ascii="Courier New" w:hAnsi="Courier New"/>
          <w:color w:val="7A1F1F"/>
          <w:sz w:val="20"/>
          <w:szCs w:val="20"/>
        </w:rPr>
        <w:t>FOR INSERT OR UPDATE ON bitacora_beneficios … COMPOUND TRIGGER</w:t>
      </w:r>
      <w:r>
        <w:rPr>
          <w:rFonts w:eastAsia="Calibri" w:cs="Calibri"/>
          <w:sz w:val="22"/>
          <w:szCs w:val="22"/>
        </w:rPr>
        <w:t xml:space="preserve"> y tiene tres secciones. Comparten dos variables: </w:t>
      </w:r>
      <w:r>
        <w:rPr>
          <w:rFonts w:eastAsia="Courier New" w:cs="Courier New" w:ascii="Courier New" w:hAnsi="Courier New"/>
          <w:color w:val="7A1F1F"/>
          <w:sz w:val="20"/>
          <w:szCs w:val="20"/>
        </w:rPr>
        <w:t>g_operacion</w:t>
      </w:r>
      <w:r>
        <w:rPr>
          <w:rFonts w:eastAsia="Calibri" w:cs="Calibri"/>
          <w:sz w:val="22"/>
          <w:szCs w:val="22"/>
        </w:rPr>
        <w:t xml:space="preserve"> (texto con INSERT o UPDATE) y </w:t>
      </w:r>
      <w:r>
        <w:rPr>
          <w:rFonts w:eastAsia="Courier New" w:cs="Courier New" w:ascii="Courier New" w:hAnsi="Courier New"/>
          <w:color w:val="7A1F1F"/>
          <w:sz w:val="20"/>
          <w:szCs w:val="20"/>
        </w:rPr>
        <w:t>g_filas</w:t>
      </w:r>
      <w:r>
        <w:rPr>
          <w:rFonts w:eastAsia="Calibri" w:cs="Calibri"/>
          <w:sz w:val="22"/>
          <w:szCs w:val="22"/>
        </w:rPr>
        <w:t xml:space="preserve"> (contador de filas).</w:t>
      </w:r>
    </w:p>
    <w:p>
      <w:pPr>
        <w:pStyle w:val="ListParagraph"/>
        <w:numPr>
          <w:ilvl w:val="0"/>
          <w:numId w:val="1"/>
        </w:numPr>
        <w:spacing w:lineRule="exact" w:line="268" w:before="0" w:after="60"/>
        <w:jc w:val="left"/>
        <w:rPr/>
      </w:pPr>
      <w:r>
        <w:rPr>
          <w:rFonts w:eastAsia="Calibri" w:cs="Calibri"/>
          <w:b/>
          <w:bCs/>
          <w:sz w:val="22"/>
          <w:szCs w:val="22"/>
        </w:rPr>
        <w:t>BEFORE STATEMENT:</w:t>
      </w:r>
      <w:r>
        <w:rPr>
          <w:rFonts w:eastAsia="Calibri" w:cs="Calibri"/>
          <w:sz w:val="22"/>
          <w:szCs w:val="22"/>
        </w:rPr>
        <w:t xml:space="preserve"> se ejecuta una vez antes de la sentencia. Pone el contador en cero, determina si la operación es INSERT o UPDATE y muestra “[SENTENCIA - INICIO]”.</w:t>
      </w:r>
    </w:p>
    <w:p>
      <w:pPr>
        <w:pStyle w:val="ListParagraph"/>
        <w:numPr>
          <w:ilvl w:val="0"/>
          <w:numId w:val="1"/>
        </w:numPr>
        <w:spacing w:lineRule="exact" w:line="268" w:before="0" w:after="60"/>
        <w:jc w:val="left"/>
        <w:rPr/>
      </w:pPr>
      <w:r>
        <w:rPr>
          <w:rFonts w:eastAsia="Calibri" w:cs="Calibri"/>
          <w:b/>
          <w:bCs/>
          <w:sz w:val="22"/>
          <w:szCs w:val="22"/>
        </w:rPr>
        <w:t>AFTER EACH ROW:</w:t>
      </w:r>
      <w:r>
        <w:rPr>
          <w:rFonts w:eastAsia="Calibri" w:cs="Calibri"/>
          <w:sz w:val="22"/>
          <w:szCs w:val="22"/>
        </w:rPr>
        <w:t xml:space="preserve"> se ejecuta por cada fila. Inserta en </w:t>
      </w:r>
      <w:r>
        <w:rPr>
          <w:rFonts w:eastAsia="Courier New" w:cs="Courier New" w:ascii="Courier New" w:hAnsi="Courier New"/>
          <w:color w:val="7A1F1F"/>
          <w:sz w:val="20"/>
          <w:szCs w:val="20"/>
        </w:rPr>
        <w:t>auditoria_beneficios</w:t>
      </w:r>
      <w:r>
        <w:rPr>
          <w:rFonts w:eastAsia="Calibri" w:cs="Calibri"/>
          <w:sz w:val="22"/>
          <w:szCs w:val="22"/>
        </w:rPr>
        <w:t xml:space="preserve"> los valores </w:t>
      </w:r>
      <w:r>
        <w:rPr>
          <w:rFonts w:eastAsia="Courier New" w:cs="Courier New" w:ascii="Courier New" w:hAnsi="Courier New"/>
          <w:color w:val="7A1F1F"/>
          <w:sz w:val="20"/>
          <w:szCs w:val="20"/>
        </w:rPr>
        <w:t>:OLD</w:t>
      </w:r>
      <w:r>
        <w:rPr>
          <w:rFonts w:eastAsia="Calibri" w:cs="Calibri"/>
          <w:sz w:val="22"/>
          <w:szCs w:val="22"/>
        </w:rPr>
        <w:t xml:space="preserve"> y </w:t>
      </w:r>
      <w:r>
        <w:rPr>
          <w:rFonts w:eastAsia="Courier New" w:cs="Courier New" w:ascii="Courier New" w:hAnsi="Courier New"/>
          <w:color w:val="7A1F1F"/>
          <w:sz w:val="20"/>
          <w:szCs w:val="20"/>
        </w:rPr>
        <w:t>:NEW</w:t>
      </w:r>
      <w:r>
        <w:rPr>
          <w:rFonts w:eastAsia="Calibri" w:cs="Calibri"/>
          <w:sz w:val="22"/>
          <w:szCs w:val="22"/>
        </w:rPr>
        <w:t xml:space="preserve"> de categoría y total, suma uno al contador y muestra “[FILA] auditada bitacora N”.</w:t>
      </w:r>
    </w:p>
    <w:p>
      <w:pPr>
        <w:pStyle w:val="ListParagraph"/>
        <w:numPr>
          <w:ilvl w:val="0"/>
          <w:numId w:val="1"/>
        </w:numPr>
        <w:spacing w:lineRule="exact" w:line="268" w:before="0" w:after="60"/>
        <w:jc w:val="left"/>
        <w:rPr/>
      </w:pPr>
      <w:r>
        <w:rPr>
          <w:rFonts w:eastAsia="Calibri" w:cs="Calibri"/>
          <w:b/>
          <w:bCs/>
          <w:sz w:val="22"/>
          <w:szCs w:val="22"/>
        </w:rPr>
        <w:t>AFTER STATEMENT:</w:t>
      </w:r>
      <w:r>
        <w:rPr>
          <w:rFonts w:eastAsia="Calibri" w:cs="Calibri"/>
          <w:sz w:val="22"/>
          <w:szCs w:val="22"/>
        </w:rPr>
        <w:t xml:space="preserve"> se ejecuta una vez al terminar. Muestra “[SENTENCIA - FIN]” con la cantidad de filas auditadas.</w:t>
      </w:r>
    </w:p>
    <w:p>
      <w:pPr>
        <w:pStyle w:val="Normal"/>
        <w:spacing w:lineRule="exact" w:line="276" w:before="0" w:after="120"/>
        <w:jc w:val="both"/>
        <w:rPr/>
      </w:pPr>
      <w:r>
        <w:rPr>
          <w:rFonts w:eastAsia="Calibri" w:cs="Calibri"/>
          <w:sz w:val="22"/>
          <w:szCs w:val="22"/>
        </w:rPr>
        <w:t xml:space="preserve">La auditoría real ocurre en la sección de fila; las secciones de sentencia solo inicializan y reportan. En un INSERT, </w:t>
      </w:r>
      <w:r>
        <w:rPr>
          <w:rFonts w:eastAsia="Courier New" w:cs="Courier New" w:ascii="Courier New" w:hAnsi="Courier New"/>
          <w:color w:val="7A1F1F"/>
          <w:sz w:val="20"/>
          <w:szCs w:val="20"/>
        </w:rPr>
        <w:t>:OLD</w:t>
      </w:r>
      <w:r>
        <w:rPr>
          <w:rFonts w:eastAsia="Calibri" w:cs="Calibri"/>
          <w:sz w:val="22"/>
          <w:szCs w:val="22"/>
        </w:rPr>
        <w:t xml:space="preserve"> es nulo, por lo que la categoría y el total anteriores quedan vacíos en la auditoría. El trigger conserva el nombre del trigger de fila de EP1: el script lo elimina y lo crea de nuevo, de modo que no queden dos triggers auditando el mismo evento. Los mensajes con </w:t>
      </w:r>
      <w:r>
        <w:rPr>
          <w:rFonts w:eastAsia="Courier New" w:cs="Courier New" w:ascii="Courier New" w:hAnsi="Courier New"/>
          <w:color w:val="7A1F1F"/>
          <w:sz w:val="20"/>
          <w:szCs w:val="20"/>
        </w:rPr>
        <w:t>DBMS_OUTPUT</w:t>
      </w:r>
      <w:r>
        <w:rPr>
          <w:rFonts w:eastAsia="Calibri" w:cs="Calibri"/>
          <w:sz w:val="22"/>
          <w:szCs w:val="22"/>
        </w:rPr>
        <w:t xml:space="preserve"> se dejaron para poder evidenciar el orden de ejecución.</w:t>
      </w:r>
    </w:p>
    <w:p>
      <w:pPr>
        <w:pStyle w:val="Heading2"/>
        <w:keepNext w:val="true"/>
        <w:spacing w:before="240" w:after="120"/>
        <w:rPr/>
      </w:pPr>
      <w:bookmarkStart w:id="26" w:name="__RefHeading___Toc2931_256807712"/>
      <w:bookmarkEnd w:id="26"/>
      <w:r>
        <w:rPr>
          <w:rFonts w:eastAsia="Calibri" w:cs="Calibri" w:ascii="Calibri" w:hAnsi="Calibri"/>
          <w:b/>
          <w:bCs/>
          <w:color w:val="1F3864"/>
          <w:sz w:val="26"/>
          <w:szCs w:val="26"/>
        </w:rPr>
        <w:t>4.5 Demostración a nivel de sentencia y de fila</w:t>
      </w:r>
    </w:p>
    <w:p>
      <w:pPr>
        <w:pStyle w:val="Heading3"/>
        <w:keepNext w:val="true"/>
        <w:spacing w:before="160" w:after="80"/>
        <w:rPr/>
      </w:pPr>
      <w:r>
        <w:rPr>
          <w:rFonts w:eastAsia="Calibri" w:cs="Calibri" w:ascii="Calibri" w:hAnsi="Calibri"/>
          <w:b/>
          <w:bCs/>
          <w:color w:val="2F5496"/>
          <w:sz w:val="23"/>
          <w:szCs w:val="23"/>
        </w:rPr>
        <w:t>4.5.1 INSERT masivo: una sentencia, cuatro filas</w:t>
      </w:r>
    </w:p>
    <w:p>
      <w:pPr>
        <w:pStyle w:val="Normal"/>
        <w:spacing w:lineRule="exact" w:line="276" w:before="0" w:after="120"/>
        <w:jc w:val="both"/>
        <w:rPr/>
      </w:pPr>
      <w:r>
        <w:rPr>
          <w:rFonts w:eastAsia="Calibri" w:cs="Calibri"/>
          <w:sz w:val="22"/>
          <w:szCs w:val="22"/>
        </w:rPr>
        <w:t xml:space="preserve">Con </w:t>
      </w:r>
      <w:r>
        <w:rPr>
          <w:rFonts w:eastAsia="Courier New" w:cs="Courier New" w:ascii="Courier New" w:hAnsi="Courier New"/>
          <w:color w:val="7A1F1F"/>
          <w:sz w:val="20"/>
          <w:szCs w:val="20"/>
        </w:rPr>
        <w:t>techmarket_beneficios.procesar_beneficios</w:t>
      </w:r>
      <w:r>
        <w:rPr>
          <w:rFonts w:eastAsia="Calibri" w:cs="Calibri"/>
          <w:sz w:val="22"/>
          <w:szCs w:val="22"/>
        </w:rPr>
        <w:t xml:space="preserve"> para la sucursal 10 se insertan cuatro filas con un único INSERT. La Figura 12 muestra primero que el trigger figura en </w:t>
      </w:r>
      <w:r>
        <w:rPr>
          <w:rFonts w:eastAsia="Courier New" w:cs="Courier New" w:ascii="Courier New" w:hAnsi="Courier New"/>
          <w:color w:val="7A1F1F"/>
          <w:sz w:val="20"/>
          <w:szCs w:val="20"/>
        </w:rPr>
        <w:t>user_triggers</w:t>
      </w:r>
      <w:r>
        <w:rPr>
          <w:rFonts w:eastAsia="Calibri" w:cs="Calibri"/>
          <w:sz w:val="22"/>
          <w:szCs w:val="22"/>
        </w:rPr>
        <w:t xml:space="preserve"> como COMPOUND, luego la salida con un “INICIO”, cuatro líneas “[FILA]” y un “FIN: 4 fila(s) auditada(s)”, y finalmente la tabla de auditoría con cuatro registros de operación INSERT.</w:t>
      </w:r>
    </w:p>
    <w:p>
      <w:pPr>
        <w:pStyle w:val="Normal"/>
        <w:spacing w:lineRule="exact" w:line="276" w:before="0" w:after="120"/>
        <w:jc w:val="both"/>
        <w:rPr/>
      </w:pPr>
      <w:r>
        <w:rPr>
          <w:rFonts w:eastAsia="Calibri" w:cs="Calibri"/>
          <w:sz w:val="22"/>
          <w:szCs w:val="22"/>
        </w:rPr>
        <w:t>Otra evidencia del mismo comportamiento aparece en la Figura 8 (sección 2.6): por cada sucursal se ve un INICIO, tantas líneas de fila como registros insertados y un FIN. En la sucursal 30, que no tiene ventas, el INSERT afecta 0 filas y el trigger igualmente imprime INICIO y “FIN: 0 fila(s)” sin ninguna línea de fila.</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E09 – Danyer Cordova ]</w:t>
            </w:r>
          </w:p>
          <w:p>
            <w:pPr>
              <w:pStyle w:val="Normal"/>
              <w:jc w:val="center"/>
              <w:rPr/>
            </w:pPr>
            <w:r>
              <w:rPr>
                <w:rFonts w:eastAsia="Calibri" w:cs="Calibri"/>
                <w:i/>
                <w:iCs/>
                <w:sz w:val="18"/>
                <w:szCs w:val="18"/>
              </w:rPr>
              <w:t>Insertar aquí la captura. Resultado esperado: tipo COMPOUND; 1 INICIO + 4 FILA + 1 FIN "4 fila(s)"; auditoría con 4 INSERT</w:t>
            </w:r>
          </w:p>
        </w:tc>
      </w:tr>
    </w:tbl>
    <w:p>
      <w:pPr>
        <w:pStyle w:val="Normal"/>
        <w:spacing w:before="80" w:after="220"/>
        <w:jc w:val="center"/>
        <w:rPr/>
      </w:pPr>
      <w:r>
        <w:rPr>
          <w:rFonts w:eastAsia="Calibri" w:cs="Calibri"/>
          <w:i/>
          <w:iCs/>
          <w:sz w:val="19"/>
          <w:szCs w:val="19"/>
        </w:rPr>
        <w:t>Figura 12: Compound trigger ante un INSERT masivo (1 sentencia, 4 filas) y registros de auditoría.</w:t>
      </w:r>
    </w:p>
    <w:p>
      <w:pPr>
        <w:pStyle w:val="Heading3"/>
        <w:keepNext w:val="true"/>
        <w:spacing w:before="160" w:after="80"/>
        <w:rPr/>
      </w:pPr>
      <w:r>
        <w:rPr>
          <w:rFonts w:eastAsia="Calibri" w:cs="Calibri" w:ascii="Calibri" w:hAnsi="Calibri"/>
          <w:b/>
          <w:bCs/>
          <w:color w:val="2F5496"/>
          <w:sz w:val="23"/>
          <w:szCs w:val="23"/>
        </w:rPr>
        <w:t>4.5.2 Contraste: procedimiento con LOOP</w:t>
      </w:r>
    </w:p>
    <w:p>
      <w:pPr>
        <w:pStyle w:val="Normal"/>
        <w:spacing w:lineRule="exact" w:line="276" w:before="0" w:after="120"/>
        <w:jc w:val="both"/>
        <w:rPr/>
      </w:pPr>
      <w:r>
        <w:rPr>
          <w:rFonts w:eastAsia="Calibri" w:cs="Calibri"/>
          <w:sz w:val="22"/>
          <w:szCs w:val="22"/>
        </w:rPr>
        <w:t xml:space="preserve">El procedimiento </w:t>
      </w:r>
      <w:r>
        <w:rPr>
          <w:rFonts w:eastAsia="Courier New" w:cs="Courier New" w:ascii="Courier New" w:hAnsi="Courier New"/>
          <w:color w:val="7A1F1F"/>
          <w:sz w:val="20"/>
          <w:szCs w:val="20"/>
        </w:rPr>
        <w:t>procesar_beneficios</w:t>
      </w:r>
      <w:r>
        <w:rPr>
          <w:rFonts w:eastAsia="Calibri" w:cs="Calibri"/>
          <w:sz w:val="22"/>
          <w:szCs w:val="22"/>
        </w:rPr>
        <w:t xml:space="preserve"> independiente de EP1 inserta con un LOOP, una sentencia por cliente. En la Figura 13 se ve la consecuencia: el par INICIO/FIN aparece cuatro veces, cada una con una sola fila. El resultado en datos es el mismo que en la figura anterior; cambia la cantidad de sentencias y, con ello, las veces que se dispara el nivel de sentencia.</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E10 – Danyer Cordova ]</w:t>
            </w:r>
          </w:p>
          <w:p>
            <w:pPr>
              <w:pStyle w:val="Normal"/>
              <w:jc w:val="center"/>
              <w:rPr/>
            </w:pPr>
            <w:r>
              <w:rPr>
                <w:rFonts w:eastAsia="Calibri" w:cs="Calibri"/>
                <w:i/>
                <w:iCs/>
                <w:sz w:val="18"/>
                <w:szCs w:val="18"/>
              </w:rPr>
              <w:t>Insertar aquí la captura. Resultado esperado: INICIO/FIN repetido 4 veces con 1 fila cada vez</w:t>
            </w:r>
          </w:p>
        </w:tc>
      </w:tr>
    </w:tbl>
    <w:p>
      <w:pPr>
        <w:pStyle w:val="Normal"/>
        <w:spacing w:before="80" w:after="220"/>
        <w:jc w:val="center"/>
        <w:rPr/>
      </w:pPr>
      <w:r>
        <w:rPr>
          <w:rFonts w:eastAsia="Calibri" w:cs="Calibri"/>
          <w:i/>
          <w:iCs/>
          <w:sz w:val="19"/>
          <w:szCs w:val="19"/>
        </w:rPr>
        <w:t>Figura 13: Contraste: procedimiento con LOOP dispara el trigger de sentencia cuatro veces.</w:t>
      </w:r>
    </w:p>
    <w:p>
      <w:pPr>
        <w:pStyle w:val="Heading3"/>
        <w:keepNext w:val="true"/>
        <w:spacing w:before="160" w:after="80"/>
        <w:rPr/>
      </w:pPr>
      <w:r>
        <w:rPr>
          <w:rFonts w:eastAsia="Calibri" w:cs="Calibri" w:ascii="Calibri" w:hAnsi="Calibri"/>
          <w:b/>
          <w:bCs/>
          <w:color w:val="2F5496"/>
          <w:sz w:val="23"/>
          <w:szCs w:val="23"/>
        </w:rPr>
        <w:t>4.5.3 UPDATE multifila</w:t>
      </w:r>
    </w:p>
    <w:p>
      <w:pPr>
        <w:pStyle w:val="Normal"/>
        <w:spacing w:lineRule="exact" w:line="276" w:before="0" w:after="120"/>
        <w:jc w:val="both"/>
        <w:rPr/>
      </w:pPr>
      <w:r>
        <w:rPr>
          <w:rFonts w:eastAsia="Calibri" w:cs="Calibri"/>
          <w:sz w:val="22"/>
          <w:szCs w:val="22"/>
        </w:rPr>
        <w:t xml:space="preserve">Se simula un ajuste de +20% por ventas tardías sobre las cuatro filas de la sucursal 10 en una sola sentencia UPDATE. La Figura 14 muestra una sección INICIO, cuatro líneas de fila y un FIN, y la auditoría con cuatro registros UPDATE que guardan categoría y total anterior y nuevo. Destaca el cliente 101, que pasa de GOLD a PLATINUM al subir su total de $1.339.950 a $1.607.940; los otros tres mantienen su categoría. Al final se hace </w:t>
      </w:r>
      <w:r>
        <w:rPr>
          <w:rFonts w:eastAsia="Courier New" w:cs="Courier New" w:ascii="Courier New" w:hAnsi="Courier New"/>
          <w:color w:val="7A1F1F"/>
          <w:sz w:val="20"/>
          <w:szCs w:val="20"/>
        </w:rPr>
        <w:t>ROLLBACK</w:t>
      </w:r>
      <w:r>
        <w:rPr>
          <w:rFonts w:eastAsia="Calibri" w:cs="Calibri"/>
          <w:sz w:val="22"/>
          <w:szCs w:val="22"/>
        </w:rPr>
        <w:t xml:space="preserve"> para dejar la bitácora limpia.</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E11 – Danyer Cordova ]</w:t>
            </w:r>
          </w:p>
          <w:p>
            <w:pPr>
              <w:pStyle w:val="Normal"/>
              <w:jc w:val="center"/>
              <w:rPr/>
            </w:pPr>
            <w:r>
              <w:rPr>
                <w:rFonts w:eastAsia="Calibri" w:cs="Calibri"/>
                <w:i/>
                <w:iCs/>
                <w:sz w:val="18"/>
                <w:szCs w:val="18"/>
              </w:rPr>
              <w:t>Insertar aquí la captura. Resultado esperado: 4 filas UPDATE; 101 de GOLD a PLATINUM (1339950 a 1607940)</w:t>
            </w:r>
          </w:p>
        </w:tc>
      </w:tr>
    </w:tbl>
    <w:p>
      <w:pPr>
        <w:pStyle w:val="Normal"/>
        <w:spacing w:before="80" w:after="220"/>
        <w:jc w:val="center"/>
        <w:rPr/>
      </w:pPr>
      <w:r>
        <w:rPr>
          <w:rFonts w:eastAsia="Calibri" w:cs="Calibri"/>
          <w:i/>
          <w:iCs/>
          <w:sz w:val="19"/>
          <w:szCs w:val="19"/>
        </w:rPr>
        <w:t>Figura 14: UPDATE multifila y registros de auditoría con valores anteriores y nuevos.</w:t>
      </w:r>
    </w:p>
    <w:p>
      <w:pPr>
        <w:pStyle w:val="Heading3"/>
        <w:keepNext w:val="true"/>
        <w:spacing w:before="160" w:after="80"/>
        <w:rPr/>
      </w:pPr>
      <w:r>
        <w:rPr>
          <w:rFonts w:eastAsia="Calibri" w:cs="Calibri" w:ascii="Calibri" w:hAnsi="Calibri"/>
          <w:b/>
          <w:bCs/>
          <w:color w:val="2F5496"/>
          <w:sz w:val="23"/>
          <w:szCs w:val="23"/>
        </w:rPr>
        <w:t>4.5.4 UPDATE que no afecta filas</w:t>
      </w:r>
    </w:p>
    <w:p>
      <w:pPr>
        <w:pStyle w:val="Normal"/>
        <w:spacing w:lineRule="exact" w:line="276" w:before="0" w:after="120"/>
        <w:jc w:val="both"/>
        <w:rPr/>
      </w:pPr>
      <w:r>
        <w:rPr>
          <w:rFonts w:eastAsia="Calibri" w:cs="Calibri"/>
          <w:sz w:val="22"/>
          <w:szCs w:val="22"/>
        </w:rPr>
        <w:t>Un UPDATE con condición que no se cumple (</w:t>
      </w:r>
      <w:r>
        <w:rPr>
          <w:rFonts w:eastAsia="Courier New" w:cs="Courier New" w:ascii="Courier New" w:hAnsi="Courier New"/>
          <w:color w:val="7A1F1F"/>
          <w:sz w:val="20"/>
          <w:szCs w:val="20"/>
        </w:rPr>
        <w:t>id_sucursal = 999</w:t>
      </w:r>
      <w:r>
        <w:rPr>
          <w:rFonts w:eastAsia="Calibri" w:cs="Calibri"/>
          <w:sz w:val="22"/>
          <w:szCs w:val="22"/>
        </w:rPr>
        <w:t>) permite distinguir los dos niveles. En la Figura 15 los mensajes de sentencia (INICIO y “FIN: 0 fila(s)”) sí aparecen, porque la sentencia se ejecutó, pero no hay ninguna línea de fila, porque no hubo filas que procesar. El conteo de auditoría sigue en 4.</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E12 – Danyer Cordova ]</w:t>
            </w:r>
          </w:p>
          <w:p>
            <w:pPr>
              <w:pStyle w:val="Normal"/>
              <w:jc w:val="center"/>
              <w:rPr/>
            </w:pPr>
            <w:r>
              <w:rPr>
                <w:rFonts w:eastAsia="Calibri" w:cs="Calibri"/>
                <w:i/>
                <w:iCs/>
                <w:sz w:val="18"/>
                <w:szCs w:val="18"/>
              </w:rPr>
              <w:t>Insertar aquí la captura. Resultado esperado: INICIO + FIN "0 fila(s)", sin líneas [FILA]; auditoría sigue en 4</w:t>
            </w:r>
          </w:p>
        </w:tc>
      </w:tr>
    </w:tbl>
    <w:p>
      <w:pPr>
        <w:pStyle w:val="Normal"/>
        <w:spacing w:before="80" w:after="220"/>
        <w:jc w:val="center"/>
        <w:rPr/>
      </w:pPr>
      <w:r>
        <w:rPr>
          <w:rFonts w:eastAsia="Calibri" w:cs="Calibri"/>
          <w:i/>
          <w:iCs/>
          <w:sz w:val="19"/>
          <w:szCs w:val="19"/>
        </w:rPr>
        <w:t>Figura 15: UPDATE de cero filas: se dispara la sentencia, no la fila.</w:t>
      </w:r>
    </w:p>
    <w:p>
      <w:pPr>
        <w:pStyle w:val="Heading3"/>
        <w:keepNext w:val="true"/>
        <w:spacing w:before="160" w:after="80"/>
        <w:rPr/>
      </w:pPr>
      <w:r>
        <w:rPr>
          <w:rFonts w:eastAsia="Calibri" w:cs="Calibri" w:ascii="Calibri" w:hAnsi="Calibri"/>
          <w:b/>
          <w:bCs/>
          <w:color w:val="2F5496"/>
          <w:sz w:val="23"/>
          <w:szCs w:val="23"/>
        </w:rPr>
        <w:t>4.5.5 Trigger de sentencia simple en DELETE</w:t>
      </w:r>
    </w:p>
    <w:p>
      <w:pPr>
        <w:pStyle w:val="Normal"/>
        <w:spacing w:lineRule="exact" w:line="276" w:before="0" w:after="120"/>
        <w:jc w:val="both"/>
        <w:rPr/>
      </w:pPr>
      <w:r>
        <w:rPr>
          <w:rFonts w:eastAsia="Calibri" w:cs="Calibri"/>
          <w:sz w:val="22"/>
          <w:szCs w:val="22"/>
        </w:rPr>
        <w:t xml:space="preserve">El compound trigger no cubre DELETE, porque está declarado solo para INSERT y UPDATE. Para los borrados se usa </w:t>
      </w:r>
      <w:r>
        <w:rPr>
          <w:rFonts w:eastAsia="Courier New" w:cs="Courier New" w:ascii="Courier New" w:hAnsi="Courier New"/>
          <w:color w:val="7A1F1F"/>
          <w:sz w:val="20"/>
          <w:szCs w:val="20"/>
        </w:rPr>
        <w:t>trg_bitacora_delete_stmt</w:t>
      </w:r>
      <w:r>
        <w:rPr>
          <w:rFonts w:eastAsia="Calibri" w:cs="Calibri"/>
          <w:sz w:val="22"/>
          <w:szCs w:val="22"/>
        </w:rPr>
        <w:t xml:space="preserve">, un trigger de sentencia </w:t>
      </w:r>
      <w:r>
        <w:rPr>
          <w:rFonts w:eastAsia="Courier New" w:cs="Courier New" w:ascii="Courier New" w:hAnsi="Courier New"/>
          <w:color w:val="7A1F1F"/>
          <w:sz w:val="20"/>
          <w:szCs w:val="20"/>
        </w:rPr>
        <w:t>AFTER DELETE</w:t>
      </w:r>
      <w:r>
        <w:rPr>
          <w:rFonts w:eastAsia="Calibri" w:cs="Calibri"/>
          <w:sz w:val="22"/>
          <w:szCs w:val="22"/>
        </w:rPr>
        <w:t xml:space="preserve">. En la Figura 16 se borran las cuatro filas de la sucursal 10 con un único DELETE: aparece un solo mensaje y la auditoría registra una única fila con operación DELETE (con </w:t>
      </w:r>
      <w:r>
        <w:rPr>
          <w:rFonts w:eastAsia="Courier New" w:cs="Courier New" w:ascii="Courier New" w:hAnsi="Courier New"/>
          <w:color w:val="7A1F1F"/>
          <w:sz w:val="20"/>
          <w:szCs w:val="20"/>
        </w:rPr>
        <w:t>id_bitacora</w:t>
      </w:r>
      <w:r>
        <w:rPr>
          <w:rFonts w:eastAsia="Calibri" w:cs="Calibri"/>
          <w:sz w:val="22"/>
          <w:szCs w:val="22"/>
        </w:rPr>
        <w:t xml:space="preserve"> nulo, porque la marca corresponde a la sentencia y no a una fila). Esto contrasta con el compound trigger, que habría dejado un registro por fila.</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E13 – Danyer Cordova ]</w:t>
            </w:r>
          </w:p>
          <w:p>
            <w:pPr>
              <w:pStyle w:val="Normal"/>
              <w:jc w:val="center"/>
              <w:rPr/>
            </w:pPr>
            <w:r>
              <w:rPr>
                <w:rFonts w:eastAsia="Calibri" w:cs="Calibri"/>
                <w:i/>
                <w:iCs/>
                <w:sz w:val="18"/>
                <w:szCs w:val="18"/>
              </w:rPr>
              <w:t>Insertar aquí la captura. Resultado esperado: 1 mensaje y 1 fila DELETE en auditoría</w:t>
            </w:r>
          </w:p>
        </w:tc>
      </w:tr>
    </w:tbl>
    <w:p>
      <w:pPr>
        <w:pStyle w:val="Normal"/>
        <w:spacing w:before="80" w:after="220"/>
        <w:jc w:val="center"/>
        <w:rPr/>
      </w:pPr>
      <w:r>
        <w:rPr>
          <w:rFonts w:eastAsia="Calibri" w:cs="Calibri"/>
          <w:i/>
          <w:iCs/>
          <w:sz w:val="19"/>
          <w:szCs w:val="19"/>
        </w:rPr>
        <w:t>Figura 16: DELETE de cuatro filas registrado como una sola marca por el trigger de sentencia.</w:t>
      </w:r>
    </w:p>
    <w:p>
      <w:pPr>
        <w:pStyle w:val="Heading2"/>
        <w:keepNext w:val="true"/>
        <w:spacing w:before="240" w:after="120"/>
        <w:rPr/>
      </w:pPr>
      <w:bookmarkStart w:id="27" w:name="__RefHeading___Toc2933_256807712"/>
      <w:bookmarkEnd w:id="27"/>
      <w:r>
        <w:rPr>
          <w:rFonts w:eastAsia="Calibri" w:cs="Calibri" w:ascii="Calibri" w:hAnsi="Calibri"/>
          <w:b/>
          <w:bCs/>
          <w:color w:val="1F3864"/>
          <w:sz w:val="26"/>
          <w:szCs w:val="26"/>
        </w:rPr>
        <w:t>4.6 Manejo de excepciones asociado</w:t>
      </w:r>
    </w:p>
    <w:p>
      <w:pPr>
        <w:pStyle w:val="Normal"/>
        <w:spacing w:lineRule="exact" w:line="276" w:before="0" w:after="120"/>
        <w:jc w:val="both"/>
        <w:rPr/>
      </w:pPr>
      <w:r>
        <w:rPr>
          <w:rFonts w:eastAsia="Calibri" w:cs="Calibri"/>
          <w:sz w:val="22"/>
          <w:szCs w:val="22"/>
        </w:rPr>
        <w:t xml:space="preserve">El package define la excepción pública </w:t>
      </w:r>
      <w:r>
        <w:rPr>
          <w:rFonts w:eastAsia="Courier New" w:cs="Courier New" w:ascii="Courier New" w:hAnsi="Courier New"/>
          <w:color w:val="7A1F1F"/>
          <w:sz w:val="20"/>
          <w:szCs w:val="20"/>
        </w:rPr>
        <w:t>ex_periodo_invalido</w:t>
      </w:r>
      <w:r>
        <w:rPr>
          <w:rFonts w:eastAsia="Calibri" w:cs="Calibri"/>
          <w:sz w:val="22"/>
          <w:szCs w:val="22"/>
        </w:rPr>
        <w:t xml:space="preserve">, vinculada con </w:t>
      </w:r>
      <w:r>
        <w:rPr>
          <w:rFonts w:eastAsia="Courier New" w:cs="Courier New" w:ascii="Courier New" w:hAnsi="Courier New"/>
          <w:color w:val="7A1F1F"/>
          <w:sz w:val="20"/>
          <w:szCs w:val="20"/>
        </w:rPr>
        <w:t>PRAGMA EXCEPTION_INIT</w:t>
      </w:r>
      <w:r>
        <w:rPr>
          <w:rFonts w:eastAsia="Calibri" w:cs="Calibri"/>
          <w:sz w:val="22"/>
          <w:szCs w:val="22"/>
        </w:rPr>
        <w:t xml:space="preserve"> al código </w:t>
      </w:r>
      <w:r>
        <w:rPr>
          <w:rFonts w:eastAsia="Courier New" w:cs="Courier New" w:ascii="Courier New" w:hAnsi="Courier New"/>
          <w:color w:val="7A1F1F"/>
          <w:sz w:val="20"/>
          <w:szCs w:val="20"/>
        </w:rPr>
        <w:t>-20001</w:t>
      </w:r>
      <w:r>
        <w:rPr>
          <w:rFonts w:eastAsia="Calibri" w:cs="Calibri"/>
          <w:sz w:val="22"/>
          <w:szCs w:val="22"/>
        </w:rPr>
        <w:t xml:space="preserve"> que lanza el validador privado. En la Figura 17 se llama a </w:t>
      </w:r>
      <w:r>
        <w:rPr>
          <w:rFonts w:eastAsia="Courier New" w:cs="Courier New" w:ascii="Courier New" w:hAnsi="Courier New"/>
          <w:color w:val="7A1F1F"/>
          <w:sz w:val="20"/>
          <w:szCs w:val="20"/>
        </w:rPr>
        <w:t>pr_procesar_todas_sucursales</w:t>
      </w:r>
      <w:r>
        <w:rPr>
          <w:rFonts w:eastAsia="Calibri" w:cs="Calibri"/>
          <w:sz w:val="22"/>
          <w:szCs w:val="22"/>
        </w:rPr>
        <w:t xml:space="preserve"> con fechas invertidas y un bloque externo captura la excepción por su nombre, mostrando el mensaje de período inválido. En la segunda prueba se consulta el cliente 999 con </w:t>
      </w:r>
      <w:r>
        <w:rPr>
          <w:rFonts w:eastAsia="Courier New" w:cs="Courier New" w:ascii="Courier New" w:hAnsi="Courier New"/>
          <w:color w:val="7A1F1F"/>
          <w:sz w:val="20"/>
          <w:szCs w:val="20"/>
        </w:rPr>
        <w:t>pr_obtener_resumen_cliente</w:t>
      </w:r>
      <w:r>
        <w:rPr>
          <w:rFonts w:eastAsia="Calibri" w:cs="Calibri"/>
          <w:sz w:val="22"/>
          <w:szCs w:val="22"/>
        </w:rPr>
        <w:t xml:space="preserve">, y el procedimiento responde con el error personalizado </w:t>
      </w:r>
      <w:r>
        <w:rPr>
          <w:rFonts w:eastAsia="Courier New" w:cs="Courier New" w:ascii="Courier New" w:hAnsi="Courier New"/>
          <w:color w:val="7A1F1F"/>
          <w:sz w:val="20"/>
          <w:szCs w:val="20"/>
        </w:rPr>
        <w:t>ORA-20002</w:t>
      </w:r>
      <w:r>
        <w:rPr>
          <w:rFonts w:eastAsia="Calibri" w:cs="Calibri"/>
          <w:sz w:val="22"/>
          <w:szCs w:val="22"/>
        </w:rPr>
        <w:t xml:space="preserve"> (“Cliente 999 no existe”).</w:t>
      </w:r>
    </w:p>
    <w:tbl>
      <w:tblPr>
        <w:tblW w:w="9360" w:type="dxa"/>
        <w:jc w:val="left"/>
        <w:tblInd w:w="0" w:type="dxa"/>
        <w:tblLayout w:type="fixed"/>
        <w:tblCellMar>
          <w:top w:w="200" w:type="dxa"/>
          <w:left w:w="200" w:type="dxa"/>
          <w:bottom w:w="200" w:type="dxa"/>
          <w:right w:w="200" w:type="dxa"/>
        </w:tblCellMar>
      </w:tblPr>
      <w:tblGrid>
        <w:gridCol w:w="9360"/>
      </w:tblGrid>
      <w:tr>
        <w:trPr/>
        <w:tc>
          <w:tcPr>
            <w:tcW w:w="9360" w:type="dxa"/>
            <w:tcBorders>
              <w:top w:val="dashed" w:sz="8" w:space="0" w:color="C00000"/>
              <w:left w:val="dashed" w:sz="8" w:space="0" w:color="C00000"/>
              <w:bottom w:val="dashed" w:sz="8" w:space="0" w:color="C00000"/>
              <w:right w:val="dashed" w:sz="8" w:space="0" w:color="C00000"/>
            </w:tcBorders>
            <w:shd w:color="auto" w:fill="FFF2CC" w:val="clear"/>
          </w:tcPr>
          <w:p>
            <w:pPr>
              <w:pStyle w:val="Normal"/>
              <w:jc w:val="center"/>
              <w:rPr/>
            </w:pPr>
            <w:r>
              <w:rPr>
                <w:rFonts w:eastAsia="Calibri" w:cs="Calibri"/>
                <w:b/>
                <w:bCs/>
                <w:color w:val="C00000"/>
                <w:sz w:val="22"/>
                <w:szCs w:val="22"/>
              </w:rPr>
              <w:t>[ CAPTURA PENDIENTE – E14 – Danyer Cordova ]</w:t>
            </w:r>
          </w:p>
          <w:p>
            <w:pPr>
              <w:pStyle w:val="Normal"/>
              <w:jc w:val="center"/>
              <w:rPr/>
            </w:pPr>
            <w:r>
              <w:rPr>
                <w:rFonts w:eastAsia="Calibri" w:cs="Calibri"/>
                <w:i/>
                <w:iCs/>
                <w:sz w:val="18"/>
                <w:szCs w:val="18"/>
              </w:rPr>
              <w:t>Insertar aquí la captura. Resultado esperado: mensaje de período inválido capturado por nombre y "Cliente 999 no existe"</w:t>
            </w:r>
          </w:p>
        </w:tc>
      </w:tr>
    </w:tbl>
    <w:p>
      <w:pPr>
        <w:pStyle w:val="Normal"/>
        <w:spacing w:before="80" w:after="220"/>
        <w:jc w:val="center"/>
        <w:rPr/>
      </w:pPr>
      <w:r>
        <w:rPr>
          <w:rFonts w:eastAsia="Calibri" w:cs="Calibri"/>
          <w:i/>
          <w:iCs/>
          <w:sz w:val="19"/>
          <w:szCs w:val="19"/>
        </w:rPr>
        <w:t>Figura 17: Excepción pública del package (ORA-20001) y error ORA-20002 por cliente inexistente.</w:t>
      </w:r>
    </w:p>
    <w:p>
      <w:pPr>
        <w:pStyle w:val="Heading2"/>
        <w:keepNext w:val="true"/>
        <w:spacing w:before="240" w:after="120"/>
        <w:rPr/>
      </w:pPr>
      <w:bookmarkStart w:id="28" w:name="__RefHeading___Toc2935_256807712"/>
      <w:bookmarkEnd w:id="28"/>
      <w:r>
        <w:rPr>
          <w:rFonts w:eastAsia="Calibri" w:cs="Calibri" w:ascii="Calibri" w:hAnsi="Calibri"/>
          <w:b/>
          <w:bCs/>
          <w:color w:val="1F3864"/>
          <w:sz w:val="26"/>
          <w:szCs w:val="26"/>
        </w:rPr>
        <w:t>4.7 Integración de todos los objetos</w:t>
      </w:r>
    </w:p>
    <w:p>
      <w:pPr>
        <w:pStyle w:val="Normal"/>
        <w:spacing w:before="0" w:after="140"/>
        <w:rPr/>
      </w:pPr>
      <w:r>
        <w:rPr>
          <w:rFonts w:eastAsia="Calibri" w:cs="Calibri"/>
          <w:i/>
          <w:iCs/>
          <w:color w:val="595959"/>
          <w:sz w:val="20"/>
          <w:szCs w:val="20"/>
        </w:rPr>
        <w:t>Desarrollado por: Max Herrera</w:t>
      </w:r>
    </w:p>
    <w:p>
      <w:pPr>
        <w:pStyle w:val="Normal"/>
        <w:spacing w:lineRule="exact" w:line="276" w:before="0" w:after="120"/>
        <w:jc w:val="both"/>
        <w:rPr/>
      </w:pPr>
      <w:r>
        <w:rPr>
          <w:rFonts w:eastAsia="Calibri" w:cs="Calibri"/>
          <w:sz w:val="22"/>
          <w:szCs w:val="22"/>
        </w:rPr>
        <w:t xml:space="preserve">Como prueba final se ejecutó el flujo completo: limpiar la bitácora, procesar las tres sucursales con </w:t>
      </w:r>
      <w:r>
        <w:rPr>
          <w:rFonts w:eastAsia="Courier New" w:cs="Courier New" w:ascii="Courier New" w:hAnsi="Courier New"/>
          <w:color w:val="7A1F1F"/>
          <w:sz w:val="20"/>
          <w:szCs w:val="20"/>
        </w:rPr>
        <w:t>pr_procesar_todas_sucursales</w:t>
      </w:r>
      <w:r>
        <w:rPr>
          <w:rFonts w:eastAsia="Calibri" w:cs="Calibri"/>
          <w:sz w:val="22"/>
          <w:szCs w:val="22"/>
        </w:rPr>
        <w:t xml:space="preserve"> y consultar el resultado con </w:t>
      </w:r>
      <w:r>
        <w:rPr>
          <w:rFonts w:eastAsia="Courier New" w:cs="Courier New" w:ascii="Courier New" w:hAnsi="Courier New"/>
          <w:color w:val="7A1F1F"/>
          <w:sz w:val="20"/>
          <w:szCs w:val="20"/>
        </w:rPr>
        <w:t>pr_resumen_general</w:t>
      </w:r>
      <w:r>
        <w:rPr>
          <w:rFonts w:eastAsia="Calibri" w:cs="Calibri"/>
          <w:sz w:val="22"/>
          <w:szCs w:val="22"/>
        </w:rPr>
        <w:t>. La Figura 18 muestra, en la parte superior, la secuencia de mensajes del trigger por sucursal; luego el detalle de la bitácora con sus 6 filas (Antonio Varas: Ana Torres $1.339.950 GOLD, Pedro Díaz $759.960 GOLD, María Soto $219.980 BRONZE y Carlos Rojas $1.599.800 PLATINUM; Plaza Oeste: Ana Torres $109.990 BRONZE y María Soto $319.970 SILVER), unido con la tabla de auditoría para contar los registros de cada fila; y al final el resumen por categoría: BRONZE 2 clientes ($329.970), SILVER 1 ($319.970), GOLD 2 ($2.099.910) y PLATINUM 1 ($1.599.800), con 4 clientes activos y $4.389.640 en ventas. Así se comprueba que funciones, procedimientos, package y triggers operan en conjunto.</w:t>
      </w:r>
    </w:p>
    <w:p>
      <w:pPr>
        <w:pStyle w:val="Normal"/>
        <w:keepNext w:val="true"/>
        <w:spacing w:before="120" w:after="0"/>
        <w:jc w:val="center"/>
        <w:rPr/>
      </w:pPr>
      <w:r>
        <w:rPr/>
        <w:drawing>
          <wp:inline distT="0" distB="0" distL="0" distR="0">
            <wp:extent cx="5715000" cy="2838450"/>
            <wp:effectExtent l="0" t="0" r="0" b="0"/>
            <wp:docPr id="7" name="E15" descr="E15&#10;Prueba de integración extremo a extremo: procesamiento, bitácora, auditoría y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15" descr="E15&#10;Prueba de integración extremo a extremo: procesamiento, bitácora, auditoría y resumen."/>
                    <pic:cNvPicPr>
                      <a:picLocks noChangeAspect="1" noChangeArrowheads="1"/>
                    </pic:cNvPicPr>
                  </pic:nvPicPr>
                  <pic:blipFill>
                    <a:blip r:embed="rId8"/>
                    <a:stretch>
                      <a:fillRect/>
                    </a:stretch>
                  </pic:blipFill>
                  <pic:spPr bwMode="auto">
                    <a:xfrm>
                      <a:off x="0" y="0"/>
                      <a:ext cx="5715000" cy="2838450"/>
                    </a:xfrm>
                    <a:prstGeom prst="rect">
                      <a:avLst/>
                    </a:prstGeom>
                  </pic:spPr>
                </pic:pic>
              </a:graphicData>
            </a:graphic>
          </wp:inline>
        </w:drawing>
      </w:r>
    </w:p>
    <w:p>
      <w:pPr>
        <w:pStyle w:val="Normal"/>
        <w:spacing w:before="80" w:after="220"/>
        <w:jc w:val="center"/>
        <w:rPr/>
      </w:pPr>
      <w:r>
        <w:rPr>
          <w:rFonts w:eastAsia="Calibri" w:cs="Calibri"/>
          <w:i/>
          <w:iCs/>
          <w:sz w:val="19"/>
          <w:szCs w:val="19"/>
        </w:rPr>
        <w:t>Figura 18: Prueba de integración extremo a extremo: procesamiento, bitácora, auditoría y resumen.</w:t>
      </w:r>
      <w:r>
        <w:br w:type="page"/>
      </w:r>
    </w:p>
    <w:p>
      <w:pPr>
        <w:pStyle w:val="Heading1"/>
        <w:spacing w:before="240" w:after="160"/>
        <w:rPr/>
      </w:pPr>
      <w:bookmarkStart w:id="29" w:name="__RefHeading___Toc2937_256807712"/>
      <w:bookmarkEnd w:id="29"/>
      <w:r>
        <w:rPr>
          <w:rFonts w:eastAsia="Calibri" w:cs="Calibri" w:ascii="Calibri" w:hAnsi="Calibri"/>
          <w:b/>
          <w:bCs/>
          <w:color w:val="1F3864"/>
          <w:sz w:val="32"/>
          <w:szCs w:val="32"/>
        </w:rPr>
        <w:t>5. Conclusión</w:t>
      </w:r>
    </w:p>
    <w:p>
      <w:pPr>
        <w:pStyle w:val="Normal"/>
        <w:spacing w:before="0" w:after="140"/>
        <w:rPr/>
      </w:pPr>
      <w:r>
        <w:rPr>
          <w:rFonts w:eastAsia="Calibri" w:cs="Calibri"/>
          <w:i/>
          <w:iCs/>
          <w:color w:val="595959"/>
          <w:sz w:val="20"/>
          <w:szCs w:val="20"/>
        </w:rPr>
        <w:t>Desarrollado por: Max Herrera, con aportes de Pablo Quintino y Danyer Cordova</w:t>
      </w:r>
    </w:p>
    <w:p>
      <w:pPr>
        <w:pStyle w:val="Heading2"/>
        <w:keepNext w:val="true"/>
        <w:spacing w:before="240" w:after="120"/>
        <w:rPr/>
      </w:pPr>
      <w:bookmarkStart w:id="30" w:name="__RefHeading___Toc2939_256807712"/>
      <w:bookmarkEnd w:id="30"/>
      <w:r>
        <w:rPr>
          <w:rFonts w:eastAsia="Calibri" w:cs="Calibri" w:ascii="Calibri" w:hAnsi="Calibri"/>
          <w:b/>
          <w:bCs/>
          <w:color w:val="1F3864"/>
          <w:sz w:val="26"/>
          <w:szCs w:val="26"/>
        </w:rPr>
        <w:t>5.1 Resumen</w:t>
      </w:r>
    </w:p>
    <w:p>
      <w:pPr>
        <w:pStyle w:val="Normal"/>
        <w:spacing w:lineRule="exact" w:line="276" w:before="0" w:after="120"/>
        <w:jc w:val="both"/>
        <w:rPr/>
      </w:pPr>
      <w:r>
        <w:rPr>
          <w:rFonts w:eastAsia="Calibri" w:cs="Calibri"/>
          <w:sz w:val="22"/>
          <w:szCs w:val="22"/>
        </w:rPr>
        <w:t>En esta evaluación se amplió el sistema de fidelización de TechMarket con tres funciones, tres procedimientos, un package con elementos públicos y privados y dos triggers. Las funciones entregan los totales y la categoría y se pueden usar tanto en consultas como en bloques PL/SQL; los procedimientos ejecutan el proceso completo, incluido el masivo por sucursales; el package ordena la lógica y oculta lo que no debe ser accesible; y el compound trigger audita cada cambio de la bitácora y permite ver la diferencia entre el nivel de sentencia y el de fila. Todos los objetos compilan sin errores.</w:t>
      </w:r>
    </w:p>
    <w:p>
      <w:pPr>
        <w:pStyle w:val="Heading2"/>
        <w:keepNext w:val="true"/>
        <w:spacing w:before="240" w:after="120"/>
        <w:rPr/>
      </w:pPr>
      <w:bookmarkStart w:id="31" w:name="__RefHeading___Toc2941_256807712"/>
      <w:bookmarkEnd w:id="31"/>
      <w:r>
        <w:rPr>
          <w:rFonts w:eastAsia="Calibri" w:cs="Calibri" w:ascii="Calibri" w:hAnsi="Calibri"/>
          <w:b/>
          <w:bCs/>
          <w:color w:val="1F3864"/>
          <w:sz w:val="26"/>
          <w:szCs w:val="26"/>
        </w:rPr>
        <w:t>5.2 Impacto</w:t>
      </w:r>
    </w:p>
    <w:p>
      <w:pPr>
        <w:pStyle w:val="ListParagraph"/>
        <w:numPr>
          <w:ilvl w:val="0"/>
          <w:numId w:val="1"/>
        </w:numPr>
        <w:spacing w:lineRule="exact" w:line="268" w:before="0" w:after="60"/>
        <w:jc w:val="left"/>
        <w:rPr/>
      </w:pPr>
      <w:r>
        <w:rPr>
          <w:rFonts w:eastAsia="Calibri" w:cs="Calibri"/>
          <w:b/>
          <w:bCs/>
          <w:sz w:val="22"/>
          <w:szCs w:val="22"/>
        </w:rPr>
        <w:t>Consistencia:</w:t>
      </w:r>
      <w:r>
        <w:rPr>
          <w:rFonts w:eastAsia="Calibri" w:cs="Calibri"/>
          <w:sz w:val="22"/>
          <w:szCs w:val="22"/>
        </w:rPr>
        <w:t xml:space="preserve"> la regla de categorías vive en un solo package, con umbrales definidos como constantes.</w:t>
      </w:r>
    </w:p>
    <w:p>
      <w:pPr>
        <w:pStyle w:val="ListParagraph"/>
        <w:numPr>
          <w:ilvl w:val="0"/>
          <w:numId w:val="1"/>
        </w:numPr>
        <w:spacing w:lineRule="exact" w:line="268" w:before="0" w:after="60"/>
        <w:jc w:val="left"/>
        <w:rPr/>
      </w:pPr>
      <w:r>
        <w:rPr>
          <w:rFonts w:eastAsia="Calibri" w:cs="Calibri"/>
          <w:b/>
          <w:bCs/>
          <w:sz w:val="22"/>
          <w:szCs w:val="22"/>
        </w:rPr>
        <w:t>Rendimiento:</w:t>
      </w:r>
      <w:r>
        <w:rPr>
          <w:rFonts w:eastAsia="Calibri" w:cs="Calibri"/>
          <w:sz w:val="22"/>
          <w:szCs w:val="22"/>
        </w:rPr>
        <w:t xml:space="preserve"> el procesamiento con un solo INSERT … SELECT reduce las sentencias y los disparos del trigger de sentencia, frente al LOOP de EP1.</w:t>
      </w:r>
    </w:p>
    <w:p>
      <w:pPr>
        <w:pStyle w:val="ListParagraph"/>
        <w:numPr>
          <w:ilvl w:val="0"/>
          <w:numId w:val="1"/>
        </w:numPr>
        <w:spacing w:lineRule="exact" w:line="268" w:before="0" w:after="60"/>
        <w:jc w:val="left"/>
        <w:rPr/>
      </w:pPr>
      <w:r>
        <w:rPr>
          <w:rFonts w:eastAsia="Calibri" w:cs="Calibri"/>
          <w:b/>
          <w:bCs/>
          <w:sz w:val="22"/>
          <w:szCs w:val="22"/>
        </w:rPr>
        <w:t>Trazabilidad:</w:t>
      </w:r>
      <w:r>
        <w:rPr>
          <w:rFonts w:eastAsia="Calibri" w:cs="Calibri"/>
          <w:sz w:val="22"/>
          <w:szCs w:val="22"/>
        </w:rPr>
        <w:t xml:space="preserve"> cada alta o modificación de la bitácora queda registrada con usuario, fecha y valores anteriores y nuevos.</w:t>
      </w:r>
    </w:p>
    <w:p>
      <w:pPr>
        <w:pStyle w:val="ListParagraph"/>
        <w:numPr>
          <w:ilvl w:val="0"/>
          <w:numId w:val="1"/>
        </w:numPr>
        <w:spacing w:lineRule="exact" w:line="268" w:before="0" w:after="60"/>
        <w:jc w:val="left"/>
        <w:rPr/>
      </w:pPr>
      <w:r>
        <w:rPr>
          <w:rFonts w:eastAsia="Calibri" w:cs="Calibri"/>
          <w:b/>
          <w:bCs/>
          <w:sz w:val="22"/>
          <w:szCs w:val="22"/>
        </w:rPr>
        <w:t>Mantenibilidad:</w:t>
      </w:r>
      <w:r>
        <w:rPr>
          <w:rFonts w:eastAsia="Calibri" w:cs="Calibri"/>
          <w:sz w:val="22"/>
          <w:szCs w:val="22"/>
        </w:rPr>
        <w:t xml:space="preserve"> al separar interfaz pública e implementación, es posible cambiar el formato de salida o la validación sin afectar a quienes usan el package.</w:t>
      </w:r>
    </w:p>
    <w:p>
      <w:pPr>
        <w:pStyle w:val="Heading2"/>
        <w:keepNext w:val="true"/>
        <w:spacing w:before="240" w:after="120"/>
        <w:rPr/>
      </w:pPr>
      <w:bookmarkStart w:id="32" w:name="__RefHeading___Toc2943_256807712"/>
      <w:bookmarkEnd w:id="32"/>
      <w:r>
        <w:rPr>
          <w:rFonts w:eastAsia="Calibri" w:cs="Calibri" w:ascii="Calibri" w:hAnsi="Calibri"/>
          <w:b/>
          <w:bCs/>
          <w:color w:val="1F3864"/>
          <w:sz w:val="26"/>
          <w:szCs w:val="26"/>
        </w:rPr>
        <w:t>5.3 Recomendaciones</w:t>
      </w:r>
    </w:p>
    <w:p>
      <w:pPr>
        <w:pStyle w:val="ListParagraph"/>
        <w:numPr>
          <w:ilvl w:val="0"/>
          <w:numId w:val="1"/>
        </w:numPr>
        <w:spacing w:lineRule="exact" w:line="268" w:before="0" w:after="60"/>
        <w:jc w:val="left"/>
        <w:rPr/>
      </w:pPr>
      <w:r>
        <w:rPr>
          <w:rFonts w:eastAsia="Calibri" w:cs="Calibri"/>
          <w:sz w:val="22"/>
          <w:szCs w:val="22"/>
        </w:rPr>
        <w:t>Unificar la regla de categorías: hoy conviven las funciones independientes de EP1 y las del package; conviene que las primeras deleguen en el package para no mantener la regla en dos lugares.</w:t>
      </w:r>
    </w:p>
    <w:p>
      <w:pPr>
        <w:pStyle w:val="ListParagraph"/>
        <w:numPr>
          <w:ilvl w:val="0"/>
          <w:numId w:val="1"/>
        </w:numPr>
        <w:spacing w:lineRule="exact" w:line="268" w:before="0" w:after="60"/>
        <w:jc w:val="left"/>
        <w:rPr/>
      </w:pPr>
      <w:r>
        <w:rPr>
          <w:rFonts w:eastAsia="Calibri" w:cs="Calibri"/>
          <w:sz w:val="22"/>
          <w:szCs w:val="22"/>
        </w:rPr>
        <w:t>Impedir procesar dos veces el mismo período: la bitácora no tiene restricción única por cliente, sucursal y período, por lo que ejecutar el proceso dos veces duplicaría filas.</w:t>
      </w:r>
    </w:p>
    <w:p>
      <w:pPr>
        <w:pStyle w:val="ListParagraph"/>
        <w:numPr>
          <w:ilvl w:val="0"/>
          <w:numId w:val="1"/>
        </w:numPr>
        <w:spacing w:lineRule="exact" w:line="268" w:before="0" w:after="60"/>
        <w:jc w:val="left"/>
        <w:rPr/>
      </w:pPr>
      <w:r>
        <w:rPr>
          <w:rFonts w:eastAsia="Calibri" w:cs="Calibri"/>
          <w:sz w:val="22"/>
          <w:szCs w:val="22"/>
        </w:rPr>
        <w:t xml:space="preserve">Retirar los mensajes de </w:t>
      </w:r>
      <w:r>
        <w:rPr>
          <w:rFonts w:eastAsia="Courier New" w:cs="Courier New" w:ascii="Courier New" w:hAnsi="Courier New"/>
          <w:color w:val="7A1F1F"/>
          <w:sz w:val="20"/>
          <w:szCs w:val="20"/>
        </w:rPr>
        <w:t>DBMS_OUTPUT</w:t>
      </w:r>
      <w:r>
        <w:rPr>
          <w:rFonts w:eastAsia="Calibri" w:cs="Calibri"/>
          <w:sz w:val="22"/>
          <w:szCs w:val="22"/>
        </w:rPr>
        <w:t xml:space="preserve"> de los triggers en un ambiente productivo; se incluyeron solo para evidenciar el orden de ejecución.</w:t>
      </w:r>
    </w:p>
    <w:p>
      <w:pPr>
        <w:pStyle w:val="ListParagraph"/>
        <w:numPr>
          <w:ilvl w:val="0"/>
          <w:numId w:val="1"/>
        </w:numPr>
        <w:spacing w:lineRule="exact" w:line="268" w:before="0" w:after="60"/>
        <w:jc w:val="left"/>
        <w:rPr/>
      </w:pPr>
      <w:r>
        <w:rPr>
          <w:rFonts w:eastAsia="Calibri" w:cs="Calibri"/>
          <w:sz w:val="22"/>
          <w:szCs w:val="22"/>
        </w:rPr>
        <w:t>Evaluar si se necesita auditoría por fila de los borrados; hoy un DELETE masivo deja una sola marca.</w:t>
      </w:r>
    </w:p>
    <w:p>
      <w:pPr>
        <w:pStyle w:val="ListParagraph"/>
        <w:numPr>
          <w:ilvl w:val="0"/>
          <w:numId w:val="1"/>
        </w:numPr>
        <w:spacing w:lineRule="exact" w:line="268" w:before="0" w:after="60"/>
        <w:jc w:val="left"/>
        <w:rPr/>
      </w:pPr>
      <w:r>
        <w:rPr>
          <w:rFonts w:eastAsia="Calibri" w:cs="Calibri"/>
          <w:sz w:val="22"/>
          <w:szCs w:val="22"/>
        </w:rPr>
        <w:t>Trabajar en un esquema propio de la aplicación en lugar del usuario SYSTEM, para separar los objetos del proyecto de los del sistema.</w:t>
      </w:r>
      <w:r>
        <w:br w:type="page"/>
      </w:r>
    </w:p>
    <w:p>
      <w:pPr>
        <w:pStyle w:val="Heading1"/>
        <w:spacing w:before="240" w:after="160"/>
        <w:rPr/>
      </w:pPr>
      <w:bookmarkStart w:id="33" w:name="__RefHeading___Toc2945_256807712"/>
      <w:bookmarkEnd w:id="33"/>
      <w:r>
        <w:rPr>
          <w:rFonts w:eastAsia="Calibri" w:cs="Calibri" w:ascii="Calibri" w:hAnsi="Calibri"/>
          <w:b/>
          <w:bCs/>
          <w:color w:val="1F3864"/>
          <w:sz w:val="32"/>
          <w:szCs w:val="32"/>
        </w:rPr>
        <w:t>Anexo A: Código completo del script EP2 (script_EP2_completo.sql)</w:t>
      </w:r>
    </w:p>
    <w:p>
      <w:pPr>
        <w:pStyle w:val="Normal"/>
        <w:spacing w:before="0" w:after="140"/>
        <w:rPr/>
      </w:pPr>
      <w:r>
        <w:rPr>
          <w:rFonts w:eastAsia="Calibri" w:cs="Calibri"/>
          <w:i/>
          <w:iCs/>
          <w:color w:val="595959"/>
          <w:sz w:val="20"/>
          <w:szCs w:val="20"/>
        </w:rPr>
        <w:t>Desarrollado por: Pablo Quintino (funciones y package), Danyer Cordova (triggers) y Max Herrera (revisión)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TechMarket SpA | BDY1103 | EP2 - script_EP2_completo.sql</w:t>
      </w:r>
    </w:p>
    <w:p>
      <w:pPr>
        <w:pStyle w:val="Normal"/>
        <w:spacing w:lineRule="exact" w:line="200" w:before="0" w:after="0"/>
        <w:rPr/>
      </w:pPr>
      <w:r>
        <w:rPr>
          <w:rFonts w:eastAsia="Courier New" w:cs="Courier New" w:ascii="Courier New" w:hAnsi="Courier New"/>
          <w:sz w:val="15"/>
          <w:szCs w:val="15"/>
        </w:rPr>
        <w:t>-- Requisito: haber ejecutado antes 05_Entrega/script_maestro.sql</w:t>
      </w:r>
    </w:p>
    <w:p>
      <w:pPr>
        <w:pStyle w:val="Normal"/>
        <w:spacing w:lineRule="exact" w:line="200" w:before="0" w:after="0"/>
        <w:rPr/>
      </w:pPr>
      <w:r>
        <w:rPr>
          <w:rFonts w:eastAsia="Courier New" w:cs="Courier New" w:ascii="Courier New" w:hAnsi="Courier New"/>
          <w:sz w:val="15"/>
          <w:szCs w:val="15"/>
        </w:rPr>
        <w:t>-- Re-ejecutable: todo es CREATE OR REPLACE (+ DROP protegido).</w:t>
      </w:r>
    </w:p>
    <w:p>
      <w:pPr>
        <w:pStyle w:val="Normal"/>
        <w:spacing w:lineRule="exact" w:line="200" w:before="0" w:after="0"/>
        <w:rPr/>
      </w:pPr>
      <w:r>
        <w:rPr>
          <w:rFonts w:eastAsia="Courier New" w:cs="Courier New" w:ascii="Courier New" w:hAnsi="Courier New"/>
          <w:sz w:val="15"/>
          <w:szCs w:val="15"/>
        </w:rPr>
        <w:t>-- Orden: funciones -&gt; package -&gt; procedimientos -&gt; triggers.</w:t>
      </w:r>
    </w:p>
    <w:p>
      <w:pPr>
        <w:pStyle w:val="Normal"/>
        <w:spacing w:lineRule="exact" w:line="200" w:before="0" w:after="0"/>
        <w:rPr/>
      </w:pPr>
      <w:r>
        <w:rPr>
          <w:rFonts w:eastAsia="Courier New" w:cs="Courier New" w:ascii="Courier New" w:hAnsi="Courier New"/>
          <w:sz w:val="15"/>
          <w:szCs w:val="15"/>
        </w:rPr>
        <w:t>-- Autores: Pablo (secciones 1-3), Danyer (4), Max (revision)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SET SERVEROUTPUT ON SIZE UNLIMITED;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Verificacion de requisitos (tablas y objetos de EP1)</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INTO v FROM user_objects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object_name IN ('CALCULAR_CATEGORIA','PROCESAR_BENEFICIOS','BITACORA_BENEFICIOS','AUDITORIA_BENEFICIOS');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 &lt; 4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RAISE_APPLICATION_ERROR(-20999, 'Ejecute primero script_maestro.sql');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 FUNCIONES ALMACENADAS NUEVAS (usables en SELECT y en PL/SQL)</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-- 1.1 SIN parametros</w:t>
      </w:r>
    </w:p>
    <w:p>
      <w:pPr>
        <w:pStyle w:val="Normal"/>
        <w:spacing w:lineRule="exact" w:line="200" w:before="0" w:after="0"/>
        <w:rPr/>
      </w:pPr>
      <w:r>
        <w:rPr>
          <w:rFonts w:eastAsia="Courier New" w:cs="Courier New" w:ascii="Courier New" w:hAnsi="Courier New"/>
          <w:sz w:val="15"/>
          <w:szCs w:val="15"/>
        </w:rPr>
        <w:t>CREATE OR REPLACE FUNCTION fn_clientes_activos</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INTO v_cantidad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estado = 'ACTIVO';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v_cantidad;</w:t>
      </w:r>
    </w:p>
    <w:p>
      <w:pPr>
        <w:pStyle w:val="Normal"/>
        <w:spacing w:lineRule="exact" w:line="200" w:before="0" w:after="0"/>
        <w:rPr/>
      </w:pPr>
      <w:r>
        <w:rPr>
          <w:rFonts w:eastAsia="Courier New" w:cs="Courier New" w:ascii="Courier New" w:hAnsi="Courier New"/>
          <w:sz w:val="15"/>
          <w:szCs w:val="15"/>
        </w:rPr>
        <w:t>END fn_clientes_activos;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FUNCTION fn_ventas_totales</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NVL(SUM(total), 0) INTO v_total FROM 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v_total;</w:t>
      </w:r>
    </w:p>
    <w:p>
      <w:pPr>
        <w:pStyle w:val="Normal"/>
        <w:spacing w:lineRule="exact" w:line="200" w:before="0" w:after="0"/>
        <w:rPr/>
      </w:pPr>
      <w:r>
        <w:rPr>
          <w:rFonts w:eastAsia="Courier New" w:cs="Courier New" w:ascii="Courier New" w:hAnsi="Courier New"/>
          <w:sz w:val="15"/>
          <w:szCs w:val="15"/>
        </w:rPr>
        <w:t>END fn_ventas_totales;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-- 1.2 CON parametros. p_id_sucursal NULL = todas las sucursales.</w:t>
      </w:r>
    </w:p>
    <w:p>
      <w:pPr>
        <w:pStyle w:val="Normal"/>
        <w:spacing w:lineRule="exact" w:line="200" w:before="0" w:after="0"/>
        <w:rPr/>
      </w:pPr>
      <w:r>
        <w:rPr>
          <w:rFonts w:eastAsia="Courier New" w:cs="Courier New" w:ascii="Courier New" w:hAnsi="Courier New"/>
          <w:sz w:val="15"/>
          <w:szCs w:val="15"/>
        </w:rPr>
        <w:t>CREATE OR REPLACE FUNCTION fn_total_cliente(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NVL(SUM(total), 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 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id_cliente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(p_id_sucursal IS NULL OR id_sucursal =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 BETWEEN p_fecha_desde AND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v_total;</w:t>
      </w:r>
    </w:p>
    <w:p>
      <w:pPr>
        <w:pStyle w:val="Normal"/>
        <w:spacing w:lineRule="exact" w:line="200" w:before="0" w:after="0"/>
        <w:rPr/>
      </w:pPr>
      <w:r>
        <w:rPr>
          <w:rFonts w:eastAsia="Courier New" w:cs="Courier New" w:ascii="Courier New" w:hAnsi="Courier New"/>
          <w:sz w:val="15"/>
          <w:szCs w:val="15"/>
        </w:rPr>
        <w:t>END fn_total_cliente;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-- 2. PACKAGE techmarket_beneficios (reemplaza el de EP1)</w:t>
      </w:r>
    </w:p>
    <w:p>
      <w:pPr>
        <w:pStyle w:val="Normal"/>
        <w:spacing w:lineRule="exact" w:line="200" w:before="0" w:after="0"/>
        <w:rPr/>
      </w:pPr>
      <w:r>
        <w:rPr>
          <w:rFonts w:eastAsia="Courier New" w:cs="Courier New" w:ascii="Courier New" w:hAnsi="Courier New"/>
          <w:sz w:val="15"/>
          <w:szCs w:val="15"/>
        </w:rPr>
        <w:t>--    PUBLICO : constantes, excepcion, 2 funciones, 2 procedimientos</w:t>
      </w:r>
    </w:p>
    <w:p>
      <w:pPr>
        <w:pStyle w:val="Normal"/>
        <w:spacing w:lineRule="exact" w:line="200" w:before="0" w:after="0"/>
        <w:rPr/>
      </w:pPr>
      <w:r>
        <w:rPr>
          <w:rFonts w:eastAsia="Courier New" w:cs="Courier New" w:ascii="Courier New" w:hAnsi="Courier New"/>
          <w:sz w:val="15"/>
          <w:szCs w:val="15"/>
        </w:rPr>
        <w:t>--    PRIVADO : fn_formatear_monto_privado, pr_validar_periodo</w:t>
      </w:r>
    </w:p>
    <w:p>
      <w:pPr>
        <w:pStyle w:val="Normal"/>
        <w:spacing w:lineRule="exact" w:line="200" w:before="0" w:after="0"/>
        <w:rPr/>
      </w:pPr>
      <w:r>
        <w:rPr>
          <w:rFonts w:eastAsia="Courier New" w:cs="Courier New" w:ascii="Courier New" w:hAnsi="Courier New"/>
          <w:sz w:val="15"/>
          <w:szCs w:val="15"/>
        </w:rPr>
        <w:t>--    (los privados NO se nombran en la especificacion)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CREATE OR REPLACE PACKAGE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Constantes publicas: umbrales de gasto por 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c_umbral_silver     CONSTANT NUMBER := 300000;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c_umbral_gold       CONSTANT NUMBER := 700000;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c_umbral_platinum   CONSTANT NUMBER := 1500000;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Excepcion publica: otros bloques pueden capturarla por nombre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ex_periodo_invalido 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PRAGMA EXCEPTION_INIT(ex_periodo_invalido, -20001);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RETURN VARCHAR2;</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RETURN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mostrar_resumen_cliente(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PACKAGE BODY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ELEMENTOS PRIVADOS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Solo visibles dentro del body (no estan en la especificacion)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fn_formatear_monto_privado(p_monto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Formato chileno: $1.339.950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 || TO_CHAR(p_monto, 'FM999G999G999G990',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'NLS_NUMERIC_CHARACTERS='',.''');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fn_formatear_monto_privado;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pr_validar_periodo(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p_fecha_desde IS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 p_fecha_hasta IS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 p_fecha_desde &gt; p_fecha_hasta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RAISE_APPLICATION_ERROR(-20001,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 invalido: la fecha de inicio no puede ser posterior a la de fin.');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pr_validar_periodo;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ELEMENTOS PUBLICOS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c_umbral_silver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'BRONZE';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c_umbral_gold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'SILVER';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c_umbral_platinum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'GOLD';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calcular_categoria;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c_umbral_silver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c_umbral_gold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c_umbral_platinum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calcular_beneficio;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Procesamiento MASIVO: un solo INSERT ... SELECT para toda la 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(Una sentencia -&gt; el trigger de sentencia se dispara 1 vez, el de fila N veces)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v_filas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pr_validar_periodo(p_fecha_desde,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bitacora_beneficios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id_sucursal, periodo_desde, 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 total_compras, 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 fecha_proceso, usuario_bd, fecha_actualizacion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v.id_cliente,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SUM(v.total),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techmarket_beneficios.calcular_categoria(SUM(v.total)),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techmarket_beneficios.calcular_beneficio(SUM(v.total)),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 BETWEEN p_fecha_desde AND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 v.id_cliente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v_filas := SQL%ROWCOUNT;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DBMS_OUTPUT.PUT_LINE('PACKAGE: sucursal ' || p_id_sucursal || ' -&gt;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v_filas || ' cliente(s) registrados en 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procesar_beneficios;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Usa fn_total_cliente (standalone) + funciones del package + formateador PRIVADO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mostrar_resumen_cliente(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pr_validar_periodo(p_fecha_desde,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 fn_total_cliente(p_id_cliente,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 '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Total: ' || fn_formatear_monto_privado(v_total)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calcular_categoria(v_total)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calcular_beneficio(v_total)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mostrar_resumen_cliente;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-- 3. PROCEDIMIENTOS NUEVOS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-- 3.1 SIN parametros: resumen de la bitacora (BULK COLLECT)</w:t>
      </w:r>
    </w:p>
    <w:p>
      <w:pPr>
        <w:pStyle w:val="Normal"/>
        <w:spacing w:lineRule="exact" w:line="200" w:before="0" w:after="0"/>
        <w:rPr/>
      </w:pPr>
      <w:r>
        <w:rPr>
          <w:rFonts w:eastAsia="Courier New" w:cs="Courier New" w:ascii="Courier New" w:hAnsi="Courier New"/>
          <w:sz w:val="15"/>
          <w:szCs w:val="15"/>
        </w:rPr>
        <w:t>CREATE OR REPLACE PROCEDURE pr_resumen_general</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t_fila  IS RECORD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VARCHAR2(20),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clientes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t_tabla IS TABLE OF t_fila;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v_tabla t_tabla;</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categoria_cliente, COUNT(*), SUM(total_compras)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BULK COLLECT INTO v_tabla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bitacora_beneficios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 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MIN(porcentaje_beneficio);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v_tabla.COUNT = 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DBMS_OUTPUT.PUT_LINE('Bitacora vacia: ejecute primero el procesamiento de 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 RESUMEN GENERAL DE 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i IN 1 .. v_tabla.COUNT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DBMS_OUTPUT.PUT_LINE(RPAD(v_tabla(i).categoria, 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Clientes: ' || v_tabla(i).clientes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Total: $' || TO_CHAR(v_tabla(i).total, 'FM999G999G999G990',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'NLS_NUMERIC_CHARACTERS='',.'''));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DBMS_OUTPUT.PUT_LINE('Clientes activos en el sistema: ' || fn_clientes_activos);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DBMS_OUTPUT.PUT_LINE('Ventas totales registradas: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TO_CHAR(fn_ventas_totales, 'FM999G999G999G990',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'NLS_NUMERIC_CHARACTERS='',.'''));</w:t>
      </w:r>
    </w:p>
    <w:p>
      <w:pPr>
        <w:pStyle w:val="Normal"/>
        <w:spacing w:lineRule="exact" w:line="200" w:before="0" w:after="0"/>
        <w:rPr/>
      </w:pPr>
      <w:r>
        <w:rPr>
          <w:rFonts w:eastAsia="Courier New" w:cs="Courier New" w:ascii="Courier New" w:hAnsi="Courier New"/>
          <w:sz w:val="15"/>
          <w:szCs w:val="15"/>
        </w:rPr>
        <w:t>END pr_resumen_general;</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-- 3.2 CON parametros IN y OUT: resumen de un cliente</w:t>
      </w:r>
    </w:p>
    <w:p>
      <w:pPr>
        <w:pStyle w:val="Normal"/>
        <w:spacing w:lineRule="exact" w:line="200" w:before="0" w:after="0"/>
        <w:rPr/>
      </w:pPr>
      <w:r>
        <w:rPr>
          <w:rFonts w:eastAsia="Courier New" w:cs="Courier New" w:ascii="Courier New" w:hAnsi="Courier New"/>
          <w:sz w:val="15"/>
          <w:szCs w:val="15"/>
        </w:rPr>
        <w:t>CREATE OR REPLACE PROCEDURE pr_obtener_resumen_cliente(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p_cantidad    OUT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       OUT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p_categoria   OUT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p_beneficio   OUT NUMBER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v_existe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1 INTO v_existe FROM cliente WHERE id_cliente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NO_DATA_FOUND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RAISE_APPLICATION_ERROR(-20002, 'Cliente ' || p_id_cliente || ' no existe.');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INTO p_cantidad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id_cliente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id_sucursal =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 BETWEEN p_fecha_desde 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     := fn_total_cliente(p_id_cliente, p_id_sucursal, 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p_categoria := calcular_categoria(p_total);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p_beneficio := calcular_beneficio(p_total);</w:t>
      </w:r>
    </w:p>
    <w:p>
      <w:pPr>
        <w:pStyle w:val="Normal"/>
        <w:spacing w:lineRule="exact" w:line="200" w:before="0" w:after="0"/>
        <w:rPr/>
      </w:pPr>
      <w:r>
        <w:rPr>
          <w:rFonts w:eastAsia="Courier New" w:cs="Courier New" w:ascii="Courier New" w:hAnsi="Courier New"/>
          <w:sz w:val="15"/>
          <w:szCs w:val="15"/>
        </w:rPr>
        <w:t>END pr_obtener_resumen_cliente;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-- 3.3 CON parametros, MASIVO: recorre TODAS las sucursales y delega en el package</w:t>
      </w:r>
    </w:p>
    <w:p>
      <w:pPr>
        <w:pStyle w:val="Normal"/>
        <w:spacing w:lineRule="exact" w:line="200" w:before="0" w:after="0"/>
        <w:rPr/>
      </w:pPr>
      <w:r>
        <w:rPr>
          <w:rFonts w:eastAsia="Courier New" w:cs="Courier New" w:ascii="Courier New" w:hAnsi="Courier New"/>
          <w:sz w:val="15"/>
          <w:szCs w:val="15"/>
        </w:rPr>
        <w:t>CREATE OR REPLACE PROCEDURE pr_procesar_todas_sucursales(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v_sucursales NUMBER := 0;</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s IN (SELECT id_sucursal, nombre FROM sucursal ORDER BY id_sucursal)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techmarket_beneficios.procesar_beneficios(s.id_sucursal, 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v_sucursales := v_sucursales + 1;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DBMS_OUTPUT.PUT_LINE('Sucursales procesadas: ' || v_sucursales);</w:t>
      </w:r>
    </w:p>
    <w:p>
      <w:pPr>
        <w:pStyle w:val="Normal"/>
        <w:spacing w:lineRule="exact" w:line="200" w:before="0" w:after="0"/>
        <w:rPr/>
      </w:pPr>
      <w:r>
        <w:rPr>
          <w:rFonts w:eastAsia="Courier New" w:cs="Courier New" w:ascii="Courier New" w:hAnsi="Courier New"/>
          <w:sz w:val="15"/>
          <w:szCs w:val="15"/>
        </w:rPr>
        <w:t>END pr_procesar_todas_sucursales;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-- 4. TRIGGERS</w:t>
      </w:r>
    </w:p>
    <w:p>
      <w:pPr>
        <w:pStyle w:val="Normal"/>
        <w:spacing w:lineRule="exact" w:line="200" w:before="0" w:after="0"/>
        <w:rPr/>
      </w:pPr>
      <w:r>
        <w:rPr>
          <w:rFonts w:eastAsia="Courier New" w:cs="Courier New" w:ascii="Courier New" w:hAnsi="Courier New"/>
          <w:sz w:val="15"/>
          <w:szCs w:val="15"/>
        </w:rPr>
        <w:t>--    Decision: el compound REEMPLAZA al trigger de solo-fila de EP1</w:t>
      </w:r>
    </w:p>
    <w:p>
      <w:pPr>
        <w:pStyle w:val="Normal"/>
        <w:spacing w:lineRule="exact" w:line="200" w:before="0" w:after="0"/>
        <w:rPr/>
      </w:pPr>
      <w:r>
        <w:rPr>
          <w:rFonts w:eastAsia="Courier New" w:cs="Courier New" w:ascii="Courier New" w:hAnsi="Courier New"/>
          <w:sz w:val="15"/>
          <w:szCs w:val="15"/>
        </w:rPr>
        <w:t>--    (mismo nombre trg_auditoria_beneficios) para no auditar doble.</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TRIGGER trg_auditoria_beneficios';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-- 4.1 COMPOUND TRIGGER: nivel SENTENCIA (antes/despues) + nivel FILA, en un objeto</w:t>
      </w:r>
    </w:p>
    <w:p>
      <w:pPr>
        <w:pStyle w:val="Normal"/>
        <w:spacing w:lineRule="exact" w:line="200" w:before="0" w:after="0"/>
        <w:rPr/>
      </w:pPr>
      <w:r>
        <w:rPr>
          <w:rFonts w:eastAsia="Courier New" w:cs="Courier New" w:ascii="Courier New" w:hAnsi="Courier New"/>
          <w:sz w:val="15"/>
          <w:szCs w:val="15"/>
        </w:rPr>
        <w:t>CREATE OR REPLACE TRIGGER trg_auditoria_beneficios</w:t>
      </w:r>
    </w:p>
    <w:p>
      <w:pPr>
        <w:pStyle w:val="Normal"/>
        <w:spacing w:lineRule="exact" w:line="200" w:before="0" w:after="0"/>
        <w:rPr/>
      </w:pPr>
      <w:r>
        <w:rPr>
          <w:rFonts w:eastAsia="Courier New" w:cs="Courier New" w:ascii="Courier New" w:hAnsi="Courier New"/>
          <w:sz w:val="15"/>
          <w:szCs w:val="15"/>
        </w:rPr>
        <w:t>FOR INSERT OR UPDATE ON bitacora_beneficios</w:t>
      </w:r>
    </w:p>
    <w:p>
      <w:pPr>
        <w:pStyle w:val="Normal"/>
        <w:spacing w:lineRule="exact" w:line="200" w:before="0" w:after="0"/>
        <w:rPr/>
      </w:pPr>
      <w:r>
        <w:rPr>
          <w:rFonts w:eastAsia="Courier New" w:cs="Courier New" w:ascii="Courier New" w:hAnsi="Courier New"/>
          <w:sz w:val="15"/>
          <w:szCs w:val="15"/>
        </w:rPr>
        <w:t>COMPOUND TRIGGER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Estado compartido entre las secciones (vive durante UNA sentencia)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g_operacion VARCHAR2(10);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g_filas     NUMBER :=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BEFORE STATEMENT 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g_filas := 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INSERTING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g_operacion := 'INSERT';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g_operacion := 'UPDATE';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DBMS_OUTPUT.PUT_LINE('[SENTENCIA - INICIO] ' || g_operacion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sobre BITACORA_BENEFICIOS por ' || 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BEFORE STATEMENT;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AFTER EACH ROW 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auditoria_beneficios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 operacion, usuario_bd, 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 categoria_nueva, total_anterior, total_nuevo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:NEW.id_bitacora, g_operacion, USER, 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:OLD.categoria_cliente, :NEW.categoria_cliente,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:OLD.total_compras, :NEW.total_compras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g_filas := g_filas + 1;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   [FILA] auditada bitacora ' || :NEW.id_bitacora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g_operacion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AFTER EACH ROW;</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AFTER STATEMENT 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DBMS_OUTPUT.PUT_LINE('[SENTENCIA - FIN] ' || g_operacion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g_filas || ' fila(s) auditada(s).');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AFTER STATEMENT;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trg_auditoria_beneficios;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-- 4.2 Trigger de SENTENCIA simple: un DELETE masivo deja UNA sola marca</w:t>
      </w:r>
    </w:p>
    <w:p>
      <w:pPr>
        <w:pStyle w:val="Normal"/>
        <w:spacing w:lineRule="exact" w:line="200" w:before="0" w:after="0"/>
        <w:rPr/>
      </w:pPr>
      <w:r>
        <w:rPr>
          <w:rFonts w:eastAsia="Courier New" w:cs="Courier New" w:ascii="Courier New" w:hAnsi="Courier New"/>
          <w:sz w:val="15"/>
          <w:szCs w:val="15"/>
        </w:rPr>
        <w:t>--     (contraste con el de fila: N filas borradas -&gt; 1 registro)</w:t>
      </w:r>
    </w:p>
    <w:p>
      <w:pPr>
        <w:pStyle w:val="Normal"/>
        <w:spacing w:lineRule="exact" w:line="200" w:before="0" w:after="0"/>
        <w:rPr/>
      </w:pPr>
      <w:r>
        <w:rPr>
          <w:rFonts w:eastAsia="Courier New" w:cs="Courier New" w:ascii="Courier New" w:hAnsi="Courier New"/>
          <w:sz w:val="15"/>
          <w:szCs w:val="15"/>
        </w:rPr>
        <w:t>CREATE OR REPLACE TRIGGER trg_bitacora_delete_stmt</w:t>
      </w:r>
    </w:p>
    <w:p>
      <w:pPr>
        <w:pStyle w:val="Normal"/>
        <w:spacing w:lineRule="exact" w:line="200" w:before="0" w:after="0"/>
        <w:rPr/>
      </w:pPr>
      <w:r>
        <w:rPr>
          <w:rFonts w:eastAsia="Courier New" w:cs="Courier New" w:ascii="Courier New" w:hAnsi="Courier New"/>
          <w:sz w:val="15"/>
          <w:szCs w:val="15"/>
        </w:rPr>
        <w:t>AFTER DELETE ON bitacora_beneficios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auditoria_beneficios (id_bitacora, operacion, usuario_bd, 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(NULL, 'DELETE', USER, 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DBMS_OUTPUT.PUT_LINE('[SENTENCIA] DELETE sobre BITACORA_BENEFICIOS registrado 1 vez.');</w:t>
      </w:r>
    </w:p>
    <w:p>
      <w:pPr>
        <w:pStyle w:val="Normal"/>
        <w:spacing w:lineRule="exact" w:line="200" w:before="0" w:after="0"/>
        <w:rPr/>
      </w:pPr>
      <w:r>
        <w:rPr>
          <w:rFonts w:eastAsia="Courier New" w:cs="Courier New" w:ascii="Courier New" w:hAnsi="Courier New"/>
          <w:sz w:val="15"/>
          <w:szCs w:val="15"/>
        </w:rPr>
        <w:t>END trg_bitacora_delete_stmt;</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-- 5. VERIFICACION FINAL (no debe aparecer ningun error)</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name, type, line, text FROM user_errors ORDER BY name, sequence;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r>
        <w:br w:type="page"/>
      </w:r>
    </w:p>
    <w:p>
      <w:pPr>
        <w:pStyle w:val="Heading1"/>
        <w:spacing w:before="240" w:after="160"/>
        <w:rPr/>
      </w:pPr>
      <w:bookmarkStart w:id="34" w:name="__RefHeading___Toc2947_256807712"/>
      <w:bookmarkEnd w:id="34"/>
      <w:r>
        <w:rPr>
          <w:rFonts w:eastAsia="Calibri" w:cs="Calibri" w:ascii="Calibri" w:hAnsi="Calibri"/>
          <w:b/>
          <w:bCs/>
          <w:color w:val="1F3864"/>
          <w:sz w:val="32"/>
          <w:szCs w:val="32"/>
        </w:rPr>
        <w:t>Anexo B: Script de pruebas y evidencias (test_EP2_evidencias.sql)</w:t>
      </w:r>
    </w:p>
    <w:p>
      <w:pPr>
        <w:pStyle w:val="Normal"/>
        <w:spacing w:before="0" w:after="140"/>
        <w:rPr/>
      </w:pPr>
      <w:r>
        <w:rPr>
          <w:rFonts w:eastAsia="Calibri" w:cs="Calibri"/>
          <w:i/>
          <w:iCs/>
          <w:color w:val="595959"/>
          <w:sz w:val="20"/>
          <w:szCs w:val="20"/>
        </w:rPr>
        <w:t>Desarrollado por: Equipo (secciones E00 a E15 según reparto)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TechMarket SpA | BDY1103 | EP2 - PRUEBAS Y EVIDENCIAS</w:t>
      </w:r>
    </w:p>
    <w:p>
      <w:pPr>
        <w:pStyle w:val="Normal"/>
        <w:spacing w:lineRule="exact" w:line="200" w:before="0" w:after="0"/>
        <w:rPr/>
      </w:pPr>
      <w:r>
        <w:rPr>
          <w:rFonts w:eastAsia="Courier New" w:cs="Courier New" w:ascii="Courier New" w:hAnsi="Courier New"/>
          <w:sz w:val="15"/>
          <w:szCs w:val="15"/>
        </w:rPr>
        <w:t>-- Orden: script_maestro.sql -&gt; script_EP2_completo.sql -&gt; este archivo.</w:t>
      </w:r>
    </w:p>
    <w:p>
      <w:pPr>
        <w:pStyle w:val="Normal"/>
        <w:spacing w:lineRule="exact" w:line="200" w:before="0" w:after="0"/>
        <w:rPr/>
      </w:pPr>
      <w:r>
        <w:rPr>
          <w:rFonts w:eastAsia="Courier New" w:cs="Courier New" w:ascii="Courier New" w:hAnsi="Courier New"/>
          <w:sz w:val="15"/>
          <w:szCs w:val="15"/>
        </w:rPr>
        <w:t>-- Ejecute E00 primero (crea un utilitario de reinicio). Luego cada</w:t>
      </w:r>
    </w:p>
    <w:p>
      <w:pPr>
        <w:pStyle w:val="Normal"/>
        <w:spacing w:lineRule="exact" w:line="200" w:before="0" w:after="0"/>
        <w:rPr/>
      </w:pPr>
      <w:r>
        <w:rPr>
          <w:rFonts w:eastAsia="Courier New" w:cs="Courier New" w:ascii="Courier New" w:hAnsi="Courier New"/>
          <w:sz w:val="15"/>
          <w:szCs w:val="15"/>
        </w:rPr>
        <w:t>-- seccion por separado (seleccionar bloque + F5) y capturar.</w:t>
      </w:r>
    </w:p>
    <w:p>
      <w:pPr>
        <w:pStyle w:val="Normal"/>
        <w:spacing w:lineRule="exact" w:line="200" w:before="0" w:after="0"/>
        <w:rPr/>
      </w:pPr>
      <w:r>
        <w:rPr>
          <w:rFonts w:eastAsia="Courier New" w:cs="Courier New" w:ascii="Courier New" w:hAnsi="Courier New"/>
          <w:sz w:val="15"/>
          <w:szCs w:val="15"/>
        </w:rPr>
        <w:t>-- Cada seccion arranca desde un estado limpio: es re-ejecutable.</w:t>
      </w:r>
    </w:p>
    <w:p>
      <w:pPr>
        <w:pStyle w:val="Normal"/>
        <w:spacing w:lineRule="exact" w:line="200" w:before="0" w:after="0"/>
        <w:rPr/>
      </w:pPr>
      <w:r>
        <w:rPr>
          <w:rFonts w:eastAsia="Courier New" w:cs="Courier New" w:ascii="Courier New" w:hAnsi="Courier New"/>
          <w:sz w:val="15"/>
          <w:szCs w:val="15"/>
        </w:rPr>
        <w:t>-- REPARTO DE CAPTURAS (carpeta 02_Evidencias/&lt;nombre&gt;/)</w:t>
      </w:r>
    </w:p>
    <w:p>
      <w:pPr>
        <w:pStyle w:val="Normal"/>
        <w:spacing w:lineRule="exact" w:line="200" w:before="0" w:after="0"/>
        <w:rPr/>
      </w:pPr>
      <w:r>
        <w:rPr>
          <w:rFonts w:eastAsia="Courier New" w:cs="Courier New" w:ascii="Courier New" w:hAnsi="Courier New"/>
          <w:sz w:val="15"/>
          <w:szCs w:val="15"/>
        </w:rPr>
        <w:t>--   Pablo : E01, E02, E03, E07, E08            (funciones y package)</w:t>
      </w:r>
    </w:p>
    <w:p>
      <w:pPr>
        <w:pStyle w:val="Normal"/>
        <w:spacing w:lineRule="exact" w:line="200" w:before="0" w:after="0"/>
        <w:rPr/>
      </w:pPr>
      <w:r>
        <w:rPr>
          <w:rFonts w:eastAsia="Courier New" w:cs="Courier New" w:ascii="Courier New" w:hAnsi="Courier New"/>
          <w:sz w:val="15"/>
          <w:szCs w:val="15"/>
        </w:rPr>
        <w:t>--   Danyer: E09, E10, E11, E12, E13, E14       (triggers y excepciones)</w:t>
      </w:r>
    </w:p>
    <w:p>
      <w:pPr>
        <w:pStyle w:val="Normal"/>
        <w:spacing w:lineRule="exact" w:line="200" w:before="0" w:after="0"/>
        <w:rPr/>
      </w:pPr>
      <w:r>
        <w:rPr>
          <w:rFonts w:eastAsia="Courier New" w:cs="Courier New" w:ascii="Courier New" w:hAnsi="Courier New"/>
          <w:sz w:val="15"/>
          <w:szCs w:val="15"/>
        </w:rPr>
        <w:t>--   Max   : E00, E04, E05, E06, E15 + C01, C02 (procedimientos, integracion, EP1)</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SET SERVEROUTPUT ON SIZE UNLIMITED;</w:t>
      </w:r>
    </w:p>
    <w:p>
      <w:pPr>
        <w:pStyle w:val="Normal"/>
        <w:spacing w:lineRule="exact" w:line="200" w:before="0" w:after="0"/>
        <w:rPr/>
      </w:pPr>
      <w:r>
        <w:rPr>
          <w:rFonts w:eastAsia="Courier New" w:cs="Courier New" w:ascii="Courier New" w:hAnsi="Courier New"/>
          <w:sz w:val="15"/>
          <w:szCs w:val="15"/>
        </w:rPr>
        <w:t>SET LINESIZE 220 PAGESIZE 100;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E00 | Max | Objetos VALID y sin errores de compilacion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CREATE OR REPLACE PROCEDURE pr_demo_reiniciar(p_cargar IN VARCHAR2 DEFAULT 'N')</w:t>
      </w:r>
    </w:p>
    <w:p>
      <w:pPr>
        <w:pStyle w:val="Normal"/>
        <w:spacing w:lineRule="exact" w:line="200" w:before="0" w:after="0"/>
        <w:rPr/>
      </w:pPr>
      <w:r>
        <w:rPr>
          <w:rFonts w:eastAsia="Courier New" w:cs="Courier New" w:ascii="Courier New" w:hAnsi="Courier New"/>
          <w:sz w:val="15"/>
          <w:szCs w:val="15"/>
        </w:rPr>
        <w:t>IS  -- utilitario SOLO de pruebas: limpia bitacora/auditoria (sin ruido de DBMS_OUTPUT)</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DBMS_OUTPUT.DISABLE;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DELETE FROM bitacora_beneficios;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DELETE FROM auditoria_beneficios;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UPPER(p_cargar) = 'S'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techmarket_beneficios.procesar_beneficios(10, DATE '2026-08-01',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DBMS_OUTPUT.ENABLE(NULL);</w:t>
      </w:r>
    </w:p>
    <w:p>
      <w:pPr>
        <w:pStyle w:val="Normal"/>
        <w:spacing w:lineRule="exact" w:line="200" w:before="0" w:after="0"/>
        <w:rPr/>
      </w:pPr>
      <w:r>
        <w:rPr>
          <w:rFonts w:eastAsia="Courier New" w:cs="Courier New" w:ascii="Courier New" w:hAnsi="Courier New"/>
          <w:sz w:val="15"/>
          <w:szCs w:val="15"/>
        </w:rPr>
        <w:t>END pr_demo_reiniciar;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 object_type, object_name, status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user_objects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object_type IN ('FUNCTION','PROCEDURE','PACKAGE','PACKAGE BODY','TRIGGER')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object_type, object_name;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 * FROM user_errors;   -- debe salir "no rows selected"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E01 | Pablo | Funciones SIN parametros (en SELECT)</w:t>
      </w:r>
    </w:p>
    <w:p>
      <w:pPr>
        <w:pStyle w:val="Normal"/>
        <w:spacing w:lineRule="exact" w:line="200" w:before="0" w:after="0"/>
        <w:rPr/>
      </w:pPr>
      <w:r>
        <w:rPr>
          <w:rFonts w:eastAsia="Courier New" w:cs="Courier New" w:ascii="Courier New" w:hAnsi="Courier New"/>
          <w:sz w:val="15"/>
          <w:szCs w:val="15"/>
        </w:rPr>
        <w:t>-- Esperado: 4 clientes activos | ventas totales 4389640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fn_clientes_activos AS clientes_activos,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fn_ventas_totales   AS ventas_totales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dual;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E02 | Pablo | Funciones CON parametros en SELECT masivo</w:t>
      </w:r>
    </w:p>
    <w:p>
      <w:pPr>
        <w:pStyle w:val="Normal"/>
        <w:spacing w:lineRule="exact" w:line="200" w:before="0" w:after="0"/>
        <w:rPr/>
      </w:pPr>
      <w:r>
        <w:rPr>
          <w:rFonts w:eastAsia="Courier New" w:cs="Courier New" w:ascii="Courier New" w:hAnsi="Courier New"/>
          <w:sz w:val="15"/>
          <w:szCs w:val="15"/>
        </w:rPr>
        <w:t>-- Esperado (6 filas): S10: 101 GOLD 1339950, 102 GOLD 759960,</w:t>
      </w:r>
    </w:p>
    <w:p>
      <w:pPr>
        <w:pStyle w:val="Normal"/>
        <w:spacing w:lineRule="exact" w:line="200" w:before="0" w:after="0"/>
        <w:rPr/>
      </w:pPr>
      <w:r>
        <w:rPr>
          <w:rFonts w:eastAsia="Courier New" w:cs="Courier New" w:ascii="Courier New" w:hAnsi="Courier New"/>
          <w:sz w:val="15"/>
          <w:szCs w:val="15"/>
        </w:rPr>
        <w:t>--   103 BRONZE 219980, 104 PLATINUM 1599800 | S20: 101 BRONZE 109990, 103 SILVER 319970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x.sucursal, x.id_cliente, x.cliente, x.total,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calcular_categoria(x.total) AS 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calcular_beneficio(x.total) AS beneficio_pct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(SELECT s.id_sucursal, s.nombre AS sucursal, c.id_cliente, c.nombre AS 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fn_total_cliente(c.id_cliente, s.id_sucursal,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 DATE '2026-08-31') AS 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 CROSS JOIN sucursal s) x</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x.total &gt; 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x.id_sucursal, x.id_cliente;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Valores limite (funcion standalone vs. funcion del package)</w:t>
      </w:r>
    </w:p>
    <w:p>
      <w:pPr>
        <w:pStyle w:val="Normal"/>
        <w:spacing w:lineRule="exact" w:line="200" w:before="0" w:after="0"/>
        <w:rPr/>
      </w:pPr>
      <w:r>
        <w:rPr>
          <w:rFonts w:eastAsia="Courier New" w:cs="Courier New" w:ascii="Courier New" w:hAnsi="Courier New"/>
          <w:sz w:val="15"/>
          <w:szCs w:val="15"/>
        </w:rPr>
        <w:t>-- Esperado: 250000 BRONZE 5 | 300000 SILVER 10 | 700000 GOLD 15 | 850000 GOLD | 1500000 PLATINUM 20</w:t>
      </w:r>
    </w:p>
    <w:p>
      <w:pPr>
        <w:pStyle w:val="Normal"/>
        <w:spacing w:lineRule="exact" w:line="200" w:before="0" w:after="0"/>
        <w:rPr/>
      </w:pPr>
      <w:r>
        <w:rPr>
          <w:rFonts w:eastAsia="Courier New" w:cs="Courier New" w:ascii="Courier New" w:hAnsi="Courier New"/>
          <w:sz w:val="15"/>
          <w:szCs w:val="15"/>
        </w:rPr>
        <w:t>SELECT m.monto,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calcular_categoria(m.monto)                AS 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calcular_beneficio(m.monto)                AS pct,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techmarket_beneficios.calcular_categoria(m.monto) AS categoria_package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(SELECT 250000 monto FROM dual UNION ALL SELECT 299999 FROM dual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UNION ALL SELECT 300000 FROM dual UNION ALL SELECT 699999 FROM dual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UNION ALL SELECT 700000 FROM dual UNION ALL SELECT 850000 FROM dual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UNION ALL SELECT 1499999 FROM dual UNION ALL SELECT 1500000 FROM dual) 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m.monto;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E03 | Pablo | Funciones usadas desde OTRO bloque PL/SQL</w:t>
      </w:r>
    </w:p>
    <w:p>
      <w:pPr>
        <w:pStyle w:val="Normal"/>
        <w:spacing w:lineRule="exact" w:line="200" w:before="0" w:after="0"/>
        <w:rPr/>
      </w:pPr>
      <w:r>
        <w:rPr>
          <w:rFonts w:eastAsia="Courier New" w:cs="Courier New" w:ascii="Courier New" w:hAnsi="Courier New"/>
          <w:sz w:val="15"/>
          <w:szCs w:val="15"/>
        </w:rPr>
        <w:t>-- Esperado (todas las sucursales, agosto): 101 GOLD 1449940 | 102 GOLD 759960</w:t>
      </w:r>
    </w:p>
    <w:p>
      <w:pPr>
        <w:pStyle w:val="Normal"/>
        <w:spacing w:lineRule="exact" w:line="200" w:before="0" w:after="0"/>
        <w:rPr/>
      </w:pPr>
      <w:r>
        <w:rPr>
          <w:rFonts w:eastAsia="Courier New" w:cs="Courier New" w:ascii="Courier New" w:hAnsi="Courier New"/>
          <w:sz w:val="15"/>
          <w:szCs w:val="15"/>
        </w:rPr>
        <w:t>--   | 103 SILVER 539950 | 104 PLATINUM 1599800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v_desde DATE := DATE '2026-08-01';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v_hasta DATE :=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DBMS_OUTPUT.PUT_LINE('Activos: ' || fn_clientes_activos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Ventas totales: ' || fn_ventas_totales);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 IN (SELECT id_cliente, nombre FROM cliente WHERE estado = 'ACTIVO' ORDER BY id_cliente)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 fn_total_cliente(c.id_cliente, NULL, v_desde, v_hasta);  -- NULL = todas las sucursales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DBMS_OUTPUT.PUT_LINE(RPAD(c.nombre, 14) || '| ' || LPAD(v_total, 8)</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techmarket_beneficios.calcular_categoria(v_total)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techmarket_beneficios.calcular_beneficio(v_total)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E04 | Max | Procedimiento CON parametros, MASIVO (todas las sucursales)</w:t>
      </w:r>
    </w:p>
    <w:p>
      <w:pPr>
        <w:pStyle w:val="Normal"/>
        <w:spacing w:lineRule="exact" w:line="200" w:before="0" w:after="0"/>
        <w:rPr/>
      </w:pPr>
      <w:r>
        <w:rPr>
          <w:rFonts w:eastAsia="Courier New" w:cs="Courier New" w:ascii="Courier New" w:hAnsi="Courier New"/>
          <w:sz w:val="15"/>
          <w:szCs w:val="15"/>
        </w:rPr>
        <w:t>-- Esperado: S10 = 4 filas, S20 = 2, S30 = 0 -&gt; bitacora con 6 filas; 6 filas de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pr_procesar_todas_sucursales(DATE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SELECT id_bitacora, id_cliente, id_sucursal, total_compras, categoria_cliente, 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bitacora_beneficios ORDER BY id_sucursal, 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E05 | Max | Procedimiento SIN parametros</w:t>
      </w:r>
    </w:p>
    <w:p>
      <w:pPr>
        <w:pStyle w:val="Normal"/>
        <w:spacing w:lineRule="exact" w:line="200" w:before="0" w:after="0"/>
        <w:rPr/>
      </w:pPr>
      <w:r>
        <w:rPr>
          <w:rFonts w:eastAsia="Courier New" w:cs="Courier New" w:ascii="Courier New" w:hAnsi="Courier New"/>
          <w:sz w:val="15"/>
          <w:szCs w:val="15"/>
        </w:rPr>
        <w:t>-- Esperado (solo S10): BRONZE 1 | GOLD 2 | PLATINUM 1</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EXEC pr_resumen_general;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E06 | Max | Procedimiento con IN/OUT llamado desde otro PL/SQL</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 NUMBER; v_total NUMBER; v_cat VARCHAR2(20); v_ben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 IN (SELECT id_cliente FROM cliente WHERE estado = 'ACTIVO' ORDER BY id_cliente)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pr_obtener_resumen_cliente(c.id_cliente, 10, DATE '2026-08-01',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 v_total, v_cat, v_ben);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 ' || c.id_cliente || ' | compras: ' || v_cant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total: ' || v_total || ' | ' || v_cat || ' | ' || v_ben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E07 | Pablo | PACKAGE: elementos PUBLICOS</w:t>
      </w:r>
    </w:p>
    <w:p>
      <w:pPr>
        <w:pStyle w:val="Normal"/>
        <w:spacing w:lineRule="exact" w:line="200" w:before="0" w:after="0"/>
        <w:rPr/>
      </w:pPr>
      <w:r>
        <w:rPr>
          <w:rFonts w:eastAsia="Courier New" w:cs="Courier New" w:ascii="Courier New" w:hAnsi="Courier New"/>
          <w:sz w:val="15"/>
          <w:szCs w:val="15"/>
        </w:rPr>
        <w:t>-- Esperado: DESC lista solo 4 subprogramas; el resumen sale con "$1.339.950"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DESC techmarket_beneficios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DBMS_OUTPUT.PUT_LINE('Umbrales publicos: SILVER&gt;=' || techmarket_beneficios.c_umbral_silver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GOLD&gt;=' || techmarket_beneficios.c_umbral_gold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PLATINUM&gt;=' || techmarket_beneficios.c_umbral_platinum);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DBMS_OUTPUT.PUT_LINE('Categoria de 850000: ' || techmarket_beneficios.calcular_categoria(850000));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techmarket_beneficios.mostrar_resumen_cliente(101, 10, DATE '2026-08-01',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techmarket_beneficios.mostrar_resumen_cliente(104, 10, 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E08 | Pablo | PACKAGE: elemento PRIVADO inaccesible</w:t>
      </w:r>
    </w:p>
    <w:p>
      <w:pPr>
        <w:pStyle w:val="Normal"/>
        <w:spacing w:lineRule="exact" w:line="200" w:before="0" w:after="0"/>
        <w:rPr/>
      </w:pPr>
      <w:r>
        <w:rPr>
          <w:rFonts w:eastAsia="Courier New" w:cs="Courier New" w:ascii="Courier New" w:hAnsi="Courier New"/>
          <w:sz w:val="15"/>
          <w:szCs w:val="15"/>
        </w:rPr>
        <w:t>-- Esperado: error ORA-06550 / PLS-00302 y luego solo "PACKAGE BODY"</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 DBMS_OUTPUT.PUT_LINE(techmarket_beneficios.fn_formatear_monto_privado(1000)); END;';</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DBMS_OUTPUT.PUT_LINE('Error esperado (privado): ' || SQLERRM);</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SELECT CASE WHEN UPPER(text) LIKE '%FN_FORMATEAR_MONTO_PRIVADO%'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THEN 'FN_FORMATEAR_MONTO_PRIVADO' ELSE 'PR_VALIDAR_PERIODO' END AS elemento,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AS aparece_en, COUNT(*) AS lineas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user_source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name = 'TECHMARKET_BENEFICIOS'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(UPPER(text) LIKE '%FN_FORMATEAR_MONTO_PRIVADO%' OR UPPER(text) LIKE '%PR_VALIDAR_PERIODO%')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 CASE WHEN UPPER(text) LIKE '%FN_FORMATEAR_MONTO_PRIVADO%'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THEN 'FN_FORMATEAR_MONTO_PRIVADO' ELSE 'PR_VALIDAR_PERIODO' END, type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1, 2;</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E09 | Danyer | COMPOUND TRIGGER: INSERT masivo (1 sentencia, 4 filas)</w:t>
      </w:r>
    </w:p>
    <w:p>
      <w:pPr>
        <w:pStyle w:val="Normal"/>
        <w:spacing w:lineRule="exact" w:line="200" w:before="0" w:after="0"/>
        <w:rPr/>
      </w:pPr>
      <w:r>
        <w:rPr>
          <w:rFonts w:eastAsia="Courier New" w:cs="Courier New" w:ascii="Courier New" w:hAnsi="Courier New"/>
          <w:sz w:val="15"/>
          <w:szCs w:val="15"/>
        </w:rPr>
        <w:t>-- Esperado: 1 INICIO + 4 FILA + 1 FIN "4 fila(s)"; auditoria con 4 INSERT</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trigger_name, trigger_type, triggering_event, status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user_triggers WHERE table_name = 'BITACORA_BENEFICIOS';</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techmarket_beneficios.procesar_beneficios(10, 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SELECT id_auditoria, id_bitacora, operacion, usuario_bd, categoria_nueva, total_nuevo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auditoria_beneficios ORDER BY id_auditoria;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E10 | Danyer | Contraste: procedimiento con LOOP = 4 sentencias</w:t>
      </w:r>
    </w:p>
    <w:p>
      <w:pPr>
        <w:pStyle w:val="Normal"/>
        <w:spacing w:lineRule="exact" w:line="200" w:before="0" w:after="0"/>
        <w:rPr/>
      </w:pPr>
      <w:r>
        <w:rPr>
          <w:rFonts w:eastAsia="Courier New" w:cs="Courier New" w:ascii="Courier New" w:hAnsi="Courier New"/>
          <w:sz w:val="15"/>
          <w:szCs w:val="15"/>
        </w:rPr>
        <w:t>-- Esperado: el par INICIO/FIN aparece 4 veces (1 fila cada vez)</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procesar_beneficios(10, 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E11 | Danyer | UPDATE multi-fila (+20% por ventas tardias)</w:t>
      </w:r>
    </w:p>
    <w:p>
      <w:pPr>
        <w:pStyle w:val="Normal"/>
        <w:spacing w:lineRule="exact" w:line="200" w:before="0" w:after="0"/>
        <w:rPr/>
      </w:pPr>
      <w:r>
        <w:rPr>
          <w:rFonts w:eastAsia="Courier New" w:cs="Courier New" w:ascii="Courier New" w:hAnsi="Courier New"/>
          <w:sz w:val="15"/>
          <w:szCs w:val="15"/>
        </w:rPr>
        <w:t>-- Esperado: 101 pasa de GOLD a PLATINUM (1339950 -&gt; 1607940); 4 filas UPDATE</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UPDATE bitacora_beneficios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SET total_compras        = total_compras * 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    = calcular_categoria(total_compras * 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 = calcular_beneficio(total_compras * 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  = 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id_sucursal = 10;</w:t>
      </w:r>
    </w:p>
    <w:p>
      <w:pPr>
        <w:pStyle w:val="Normal"/>
        <w:spacing w:lineRule="exact" w:line="200" w:before="0" w:after="0"/>
        <w:rPr/>
      </w:pPr>
      <w:r>
        <w:rPr>
          <w:rFonts w:eastAsia="Courier New" w:cs="Courier New" w:ascii="Courier New" w:hAnsi="Courier New"/>
          <w:sz w:val="15"/>
          <w:szCs w:val="15"/>
        </w:rPr>
        <w:t>SELECT id_auditoria, id_bitacora, operacion, categoria_anterior, categoria_nueva,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 total_nuevo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auditoria_beneficios ORDER BY id_auditoria;</w:t>
      </w:r>
    </w:p>
    <w:p>
      <w:pPr>
        <w:pStyle w:val="Normal"/>
        <w:spacing w:lineRule="exact" w:line="200" w:before="0" w:after="0"/>
        <w:rPr/>
      </w:pPr>
      <w:r>
        <w:rPr>
          <w:rFonts w:eastAsia="Courier New" w:cs="Courier New" w:ascii="Courier New" w:hAnsi="Courier New"/>
          <w:sz w:val="15"/>
          <w:szCs w:val="15"/>
        </w:rPr>
        <w:t>ROLLBACK;</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E12 | Danyer | UPDATE de 0 filas: la SENTENCIA dispara, la FILA no</w:t>
      </w:r>
    </w:p>
    <w:p>
      <w:pPr>
        <w:pStyle w:val="Normal"/>
        <w:spacing w:lineRule="exact" w:line="200" w:before="0" w:after="0"/>
        <w:rPr/>
      </w:pPr>
      <w:r>
        <w:rPr>
          <w:rFonts w:eastAsia="Courier New" w:cs="Courier New" w:ascii="Courier New" w:hAnsi="Courier New"/>
          <w:sz w:val="15"/>
          <w:szCs w:val="15"/>
        </w:rPr>
        <w:t>-- Esperado: INICIO + FIN "0 fila(s)", sin lineas [FILA]; auditoria sigue con 4</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UPDATE bitacora_beneficios SET fecha_actualizacion = SYSDATE WHERE id_sucursal = 999;</w:t>
      </w:r>
    </w:p>
    <w:p>
      <w:pPr>
        <w:pStyle w:val="Normal"/>
        <w:spacing w:lineRule="exact" w:line="200" w:before="0" w:after="0"/>
        <w:rPr/>
      </w:pPr>
      <w:r>
        <w:rPr>
          <w:rFonts w:eastAsia="Courier New" w:cs="Courier New" w:ascii="Courier New" w:hAnsi="Courier New"/>
          <w:sz w:val="15"/>
          <w:szCs w:val="15"/>
        </w:rPr>
        <w:t>SELECT COUNT(*) AS filas_auditoria FROM auditoria_beneficios;</w:t>
      </w:r>
    </w:p>
    <w:p>
      <w:pPr>
        <w:pStyle w:val="Normal"/>
        <w:spacing w:lineRule="exact" w:line="200" w:before="0" w:after="0"/>
        <w:rPr/>
      </w:pPr>
      <w:r>
        <w:rPr>
          <w:rFonts w:eastAsia="Courier New" w:cs="Courier New" w:ascii="Courier New" w:hAnsi="Courier New"/>
          <w:sz w:val="15"/>
          <w:szCs w:val="15"/>
        </w:rPr>
        <w:t>ROLLBACK;</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E13 | Danyer | Trigger de SENTENCIA simple: DELETE de 4 filas = 1 marca</w:t>
      </w:r>
    </w:p>
    <w:p>
      <w:pPr>
        <w:pStyle w:val="Normal"/>
        <w:spacing w:lineRule="exact" w:line="200" w:before="0" w:after="0"/>
        <w:rPr/>
      </w:pPr>
      <w:r>
        <w:rPr>
          <w:rFonts w:eastAsia="Courier New" w:cs="Courier New" w:ascii="Courier New" w:hAnsi="Courier New"/>
          <w:sz w:val="15"/>
          <w:szCs w:val="15"/>
        </w:rPr>
        <w:t>-- Esperado: 1 mensaje y 1 fila 'DELETE' en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DELETE FROM bitacora_beneficios WHERE id_sucursal = 10;</w:t>
      </w:r>
    </w:p>
    <w:p>
      <w:pPr>
        <w:pStyle w:val="Normal"/>
        <w:spacing w:lineRule="exact" w:line="200" w:before="0" w:after="0"/>
        <w:rPr/>
      </w:pPr>
      <w:r>
        <w:rPr>
          <w:rFonts w:eastAsia="Courier New" w:cs="Courier New" w:ascii="Courier New" w:hAnsi="Courier New"/>
          <w:sz w:val="15"/>
          <w:szCs w:val="15"/>
        </w:rPr>
        <w:t>SELECT id_auditoria, id_bitacora, operacion, 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auditoria_beneficios WHERE operacion = 'DELETE';</w:t>
      </w:r>
    </w:p>
    <w:p>
      <w:pPr>
        <w:pStyle w:val="Normal"/>
        <w:spacing w:lineRule="exact" w:line="200" w:before="0" w:after="0"/>
        <w:rPr/>
      </w:pPr>
      <w:r>
        <w:rPr>
          <w:rFonts w:eastAsia="Courier New" w:cs="Courier New" w:ascii="Courier New" w:hAnsi="Courier New"/>
          <w:sz w:val="15"/>
          <w:szCs w:val="15"/>
        </w:rPr>
        <w:t>ROLLBACK;</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E14 | Danyer | Excepciones: publica del package y ORA-20002</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pr_procesar_todas_sucursales(DATE '2026-08-31', DATE '2026-08-01');  -- fechas invertidas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techmarket_beneficios.ex_periodo_invalido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DBMS_OUTPUT.PUT_LINE('Capturada ex_periodo_invalido: ' || SQLERRM);</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 NUMBER; v_t NUMBER; v_cat VARCHAR2(20); v_b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pr_obtener_resumen_cliente(999, 10, DATE '2026-08-01', DATE '2026-08-31', v_c, v_t, v_cat, v_b);</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 inexistente -&gt; ' || SQLERRM);</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E15 | Max | Integracion extremo a extremo</w:t>
      </w:r>
    </w:p>
    <w:p>
      <w:pPr>
        <w:pStyle w:val="Normal"/>
        <w:spacing w:lineRule="exact" w:line="200" w:before="0" w:after="0"/>
        <w:rPr/>
      </w:pPr>
      <w:r>
        <w:rPr>
          <w:rFonts w:eastAsia="Courier New" w:cs="Courier New" w:ascii="Courier New" w:hAnsi="Courier New"/>
          <w:sz w:val="15"/>
          <w:szCs w:val="15"/>
        </w:rPr>
        <w:t>-- Esperado: 6 filas, cada una con 1 registro de auditoria; resumen con</w:t>
      </w:r>
    </w:p>
    <w:p>
      <w:pPr>
        <w:pStyle w:val="Normal"/>
        <w:spacing w:lineRule="exact" w:line="200" w:before="0" w:after="0"/>
        <w:rPr/>
      </w:pPr>
      <w:r>
        <w:rPr>
          <w:rFonts w:eastAsia="Courier New" w:cs="Courier New" w:ascii="Courier New" w:hAnsi="Courier New"/>
          <w:sz w:val="15"/>
          <w:szCs w:val="15"/>
        </w:rPr>
        <w:t>--   BRONZE 2 / SILVER 1 / GOLD 2 / PLATINUM 1</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EXEC pr_procesar_todas_sucursales(DATE '2026-08-01', DATE '2026-08-31');</w:t>
      </w:r>
    </w:p>
    <w:p>
      <w:pPr>
        <w:pStyle w:val="Normal"/>
        <w:spacing w:lineRule="exact" w:line="200" w:before="0" w:after="0"/>
        <w:rPr/>
      </w:pPr>
      <w:r>
        <w:rPr>
          <w:rFonts w:eastAsia="Courier New" w:cs="Courier New" w:ascii="Courier New" w:hAnsi="Courier New"/>
          <w:sz w:val="15"/>
          <w:szCs w:val="15"/>
        </w:rPr>
        <w:t>SELECT s.nombre AS sucursal, c.nombre AS cliente, b.total_compras,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b.categoria_cliente, b.porcentaje_beneficio,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FROM auditoria_beneficios a WHERE a.id_bitacora = b.id_bitacora) AS filas_auditoria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bitacora_beneficios b</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cliente  c ON c.id_cliente  = b.id_cliente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sucursal s ON s.id_sucursal = b.id_sucursal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s.id_sucursal, c.id_cliente;</w:t>
      </w:r>
    </w:p>
    <w:p>
      <w:pPr>
        <w:pStyle w:val="Normal"/>
        <w:spacing w:lineRule="exact" w:line="200" w:before="0" w:after="0"/>
        <w:rPr/>
      </w:pPr>
      <w:r>
        <w:rPr>
          <w:rFonts w:eastAsia="Courier New" w:cs="Courier New" w:ascii="Courier New" w:hAnsi="Courier New"/>
          <w:sz w:val="15"/>
          <w:szCs w:val="15"/>
        </w:rPr>
        <w:t>EXEC pr_resumen_general;</w:t>
      </w:r>
    </w:p>
    <w:p>
      <w:pPr>
        <w:pStyle w:val="Normal"/>
        <w:spacing w:lineRule="exact" w:line="200" w:before="0" w:after="0"/>
        <w:rPr/>
      </w:pPr>
      <w:r>
        <w:rPr>
          <w:rFonts w:eastAsia="Courier New" w:cs="Courier New" w:ascii="Courier New" w:hAnsi="Courier New"/>
          <w:sz w:val="15"/>
          <w:szCs w:val="15"/>
        </w:rPr>
        <w:t xml:space="preserve"> </w:t>
      </w:r>
      <w:r>
        <w:br w:type="page"/>
      </w:r>
    </w:p>
    <w:p>
      <w:pPr>
        <w:pStyle w:val="Heading1"/>
        <w:spacing w:before="240" w:after="160"/>
        <w:rPr/>
      </w:pPr>
      <w:bookmarkStart w:id="35" w:name="__RefHeading___Toc2949_256807712"/>
      <w:bookmarkEnd w:id="35"/>
      <w:r>
        <w:rPr>
          <w:rFonts w:eastAsia="Calibri" w:cs="Calibri" w:ascii="Calibri" w:hAnsi="Calibri"/>
          <w:b/>
          <w:bCs/>
          <w:color w:val="1F3864"/>
          <w:sz w:val="32"/>
          <w:szCs w:val="32"/>
        </w:rPr>
        <w:t>Anexo C: Script maestro EP1 (script_maestro.sql)</w:t>
      </w:r>
    </w:p>
    <w:p>
      <w:pPr>
        <w:pStyle w:val="Normal"/>
        <w:spacing w:before="0" w:after="140"/>
        <w:rPr/>
      </w:pPr>
      <w:r>
        <w:rPr>
          <w:rFonts w:eastAsia="Calibri" w:cs="Calibri"/>
          <w:i/>
          <w:iCs/>
          <w:color w:val="595959"/>
          <w:sz w:val="20"/>
          <w:szCs w:val="20"/>
        </w:rPr>
        <w:t>Desarrollado por: Equipo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PROYECTO: TechMarket SpA</w:t>
      </w:r>
    </w:p>
    <w:p>
      <w:pPr>
        <w:pStyle w:val="Normal"/>
        <w:spacing w:lineRule="exact" w:line="200" w:before="0" w:after="0"/>
        <w:rPr/>
      </w:pPr>
      <w:r>
        <w:rPr>
          <w:rFonts w:eastAsia="Courier New" w:cs="Courier New" w:ascii="Courier New" w:hAnsi="Courier New"/>
          <w:sz w:val="15"/>
          <w:szCs w:val="15"/>
        </w:rPr>
        <w:t>-- ASIGNATURA: BDY1103 - Taller de Base de Datos</w:t>
      </w:r>
    </w:p>
    <w:p>
      <w:pPr>
        <w:pStyle w:val="Normal"/>
        <w:spacing w:lineRule="exact" w:line="200" w:before="0" w:after="0"/>
        <w:rPr/>
      </w:pPr>
      <w:r>
        <w:rPr>
          <w:rFonts w:eastAsia="Courier New" w:cs="Courier New" w:ascii="Courier New" w:hAnsi="Courier New"/>
          <w:sz w:val="15"/>
          <w:szCs w:val="15"/>
        </w:rPr>
        <w:t>-- EVALUACION: EP1</w:t>
      </w:r>
    </w:p>
    <w:p>
      <w:pPr>
        <w:pStyle w:val="Normal"/>
        <w:spacing w:lineRule="exact" w:line="200" w:before="0" w:after="0"/>
        <w:rPr/>
      </w:pPr>
      <w:r>
        <w:rPr>
          <w:rFonts w:eastAsia="Courier New" w:cs="Courier New" w:ascii="Courier New" w:hAnsi="Courier New"/>
          <w:sz w:val="15"/>
          <w:szCs w:val="15"/>
        </w:rPr>
        <w:t>-- SCRIPT MAESTRO CORREGIDO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SET SERVEROUTPUT 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 ELIMINAR TABLAS ANTERIORES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auditoria_beneficios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bitacora_beneficios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detalle_venta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venta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producto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cliente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sucursal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-- 2. CREACION DE TABLAS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 NUMBER(4)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pk_sucursal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 VARCHAR2(80)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comuna VARCHAR2(80) NOT NULL</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NUMBER(6)</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pk_cliente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 VARCHAR2(120)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correo VARCHAR2(150)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uq_cliente_correo UNIQUE,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estado VARCHAR2(10) DEFAULT 'ACTIVO'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fecha_registro DATE DEFAULT SYSDATE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ck_cliente_estado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(estado IN ('ACTIVO', 'INACTIVO'))</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producto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id_producto NUMBER(6)</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pk_producto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nombre_producto VARCHAR2(120)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VARCHAR2(60)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precio NUMBER(12,2)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stock NUMBER(8) DEFAULT 0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ck_producto_precio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(precio &gt;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ck_producto_stock</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(stock &gt;= 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venta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id_venta NUMBER(8)</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pk_venta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 NUMBER(4)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fecha_venta 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NUMBER(14,2)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fk_venta_sucursal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sucursal(id_sucursal),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fk_venta_cliente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ck_venta_total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(total &gt;= 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detalle_venta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id_detalle NUMBER(10)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pk_detalle_venta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id_venta NUMBER(8)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id_producto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precio_unitario NUMBER(12,2)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fk_detalle_venta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venta(id_venta),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fk_detalle_producto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(id_producto)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producto(id_producto),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ck_detalle_cantidad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(cantidad &gt;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ck_detalle_precio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(precio_unitario &gt; 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bitacora_beneficios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GENERATED BY DEFAULT AS IDENTITY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pk_bitacora_beneficios PRIMARY KEY,</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 NUMBER(4)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 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 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 NUMBER(14,2)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 VARCHAR2(20)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 NUMBER(5,2)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 DATE DEFAULT SYSDATE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 VARCHAR2(128),</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 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fk_bitacora_cliente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fk_bitacora_sucursal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sucursal(id_sucursal)</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auditoria_beneficios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id_auditoria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GENERATED BY DEFAULT AS IDENTITY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pk_auditoria_beneficios PRIMARY KEY,</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operacion VARCHAR2(10)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 VARCHAR2(128)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fecha_evento DATE DEFAULT SYSDATE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 VARCHAR2(20),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categoria_nueva VARCHAR2(20),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 NUMBER(14,2),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total_nuevo NUMBER(14,2)</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-- 3. INDICES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INDEX idx_venta_sucursal_fecha</w:t>
      </w:r>
    </w:p>
    <w:p>
      <w:pPr>
        <w:pStyle w:val="Normal"/>
        <w:spacing w:lineRule="exact" w:line="200" w:before="0" w:after="0"/>
        <w:rPr/>
      </w:pPr>
      <w:r>
        <w:rPr>
          <w:rFonts w:eastAsia="Courier New" w:cs="Courier New" w:ascii="Courier New" w:hAnsi="Courier New"/>
          <w:sz w:val="15"/>
          <w:szCs w:val="15"/>
        </w:rPr>
        <w:t>ON venta(id_sucursal, fecha_venta);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INDEX idx_venta_cliente</w:t>
      </w:r>
    </w:p>
    <w:p>
      <w:pPr>
        <w:pStyle w:val="Normal"/>
        <w:spacing w:lineRule="exact" w:line="200" w:before="0" w:after="0"/>
        <w:rPr/>
      </w:pPr>
      <w:r>
        <w:rPr>
          <w:rFonts w:eastAsia="Courier New" w:cs="Courier New" w:ascii="Courier New" w:hAnsi="Courier New"/>
          <w:sz w:val="15"/>
          <w:szCs w:val="15"/>
        </w:rPr>
        <w:t>ON venta(id_cliente);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INDEX idx_detalle_venta</w:t>
      </w:r>
    </w:p>
    <w:p>
      <w:pPr>
        <w:pStyle w:val="Normal"/>
        <w:spacing w:lineRule="exact" w:line="200" w:before="0" w:after="0"/>
        <w:rPr/>
      </w:pPr>
      <w:r>
        <w:rPr>
          <w:rFonts w:eastAsia="Courier New" w:cs="Courier New" w:ascii="Courier New" w:hAnsi="Courier New"/>
          <w:sz w:val="15"/>
          <w:szCs w:val="15"/>
        </w:rPr>
        <w:t>ON detalle_venta(id_venta);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-- 4. DATOS INICIALES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sucursal</w:t>
      </w:r>
    </w:p>
    <w:p>
      <w:pPr>
        <w:pStyle w:val="Normal"/>
        <w:spacing w:lineRule="exact" w:line="200" w:before="0" w:after="0"/>
        <w:rPr/>
      </w:pPr>
      <w:r>
        <w:rPr>
          <w:rFonts w:eastAsia="Courier New" w:cs="Courier New" w:ascii="Courier New" w:hAnsi="Courier New"/>
          <w:sz w:val="15"/>
          <w:szCs w:val="15"/>
        </w:rPr>
        <w:t>VALUES (10, 'Antonio Varas', 'Providencia');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sucursal</w:t>
      </w:r>
    </w:p>
    <w:p>
      <w:pPr>
        <w:pStyle w:val="Normal"/>
        <w:spacing w:lineRule="exact" w:line="200" w:before="0" w:after="0"/>
        <w:rPr/>
      </w:pPr>
      <w:r>
        <w:rPr>
          <w:rFonts w:eastAsia="Courier New" w:cs="Courier New" w:ascii="Courier New" w:hAnsi="Courier New"/>
          <w:sz w:val="15"/>
          <w:szCs w:val="15"/>
        </w:rPr>
        <w:t>VALUES (20, 'Plaza Oeste', 'Cerrillos');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sucursal</w:t>
      </w:r>
    </w:p>
    <w:p>
      <w:pPr>
        <w:pStyle w:val="Normal"/>
        <w:spacing w:lineRule="exact" w:line="200" w:before="0" w:after="0"/>
        <w:rPr/>
      </w:pPr>
      <w:r>
        <w:rPr>
          <w:rFonts w:eastAsia="Courier New" w:cs="Courier New" w:ascii="Courier New" w:hAnsi="Courier New"/>
          <w:sz w:val="15"/>
          <w:szCs w:val="15"/>
        </w:rPr>
        <w:t>VALUES (30, 'Vina Centro', 'Vina del Mar');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'Ana Torres',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'ana.torres@correo.cl',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'2026-01-15'</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'Pedro Diaz',</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'pedro.diaz@correo.cl',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'2026-02-10'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'Maria Soto',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'maria.soto@correo.cl',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'2026-03-05'</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'Carlos Rojas',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'carlos.rojas@correo.cl',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'2026-03-20'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'Sofia Perez',</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'sofia.perez@correo.cl',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'2026-04-02'</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'Notebook Pro 14',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'Notebook',</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899990,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12</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'Monitor 27 IPS',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'Monitor',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239990,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25</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'Teclado mecanico',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'Periferico',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79990,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40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'Mouse inalambrico',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'Periferico',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60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'SSD NVMe 1TB',</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'Almacenamiento',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-- 5. VENTAS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Sucursal 10 - Agosto 2026</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899990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279980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'2026-08-25',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159980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'2026-08-07',</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239990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'2026-08-19',</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519970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5006,</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219980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5007,</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1599800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Sucursal 20 - Agosto 2026</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5011,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'2026-08-17',</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319970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Sucursal 10 - Septiembre 2026</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'2026-09-02',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-- 6. DETALLE DE VENTAS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(9001, 5001, 1001, 1, 899990);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(9002, 5002, 1002, 1,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(9003, 5002, 1004, 1, 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(9004, 5003, 1003, 2, 79990);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(9005, 5004, 1002, 1,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(9006, 5005, 1001, 1, 479980);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(9007, 5005, 1004, 1, 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(9008, 5006, 1005, 2, 109990);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(9009, 5007, 1001, 1, 899990);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(9010, 5007, 1002, 2,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(9011, 5007, 1005, 2, 109915);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(9012, 5010, 1005, 1, 109990);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(9013, 5011, 1002, 1,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(9014, 5011, 1003, 1, 79980);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(9015, 5020, 1004, 1, 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-- 7. FUNCTION: CALCULAR_CATEGORIA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'BRONZE';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'SILVER';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'GOLD';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calcular_categoria;</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-- 8. FUNCTION: CALCULAR_BENEFICIO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calcular_beneficio;</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-- 9. RECORD + VARRAY</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cliente_record IS RECORD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CLIENTE.ID_CLIENTE%TYPE,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nombre_cliente CLIENTE.NOMBRE%TYPE,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total_comprado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VARCHAR2(20),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 cliente_record;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beneficios_varray IS VARRAY(4) OF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 beneficios_varray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beneficios_varray(5, 10, 15, 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COUNT(v.id_venta),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NVL(SUM(v.total),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v_cliente.nombre_cliente,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LEFT 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c.id_cliente = 101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 Cliente: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v_cliente.nombre_cliente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 compras: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comprado: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'Beneficios disponibles: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v_beneficios(1) ||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v_beneficios(2) ||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v_beneficios(3) ||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v_beneficios(4)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-- 10. CURSORES PARAMETRIZADOS + LOOP ANIDADO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v_id_sucursal NUMBER := 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v_fecha_desde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v_fecha_hasta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'2026-08-31';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CURSOR MAESTRO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CURSOR cur_clientes(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DISTINCT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 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c.id_cliente;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CURSOR DETALLE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CURSOR cur_ventas(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id_cliente = p_id_cliente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id_sucursal = 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fecha_venta;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LOOP MAESTRO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cliente IN cur_clientes(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cliente.nombre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LOOP DETALLE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venta IN cur_ventas(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+ 1;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 venta.total;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Venta: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venta.id_venta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Fecha: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TO_CHAR(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venta.fecha_venta,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'DD/MM/YYYY'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venta.total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 compras: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comprado: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-- 11. PROCEDURE: PROCESAR_BENEFICIOS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VARCHAR2(20);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cliente IN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 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c.id_cliente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COUNT(v.id_venta),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NVL(SUM(v.total),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 v</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v.id_sucursal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bitacora_beneficios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Compras: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Categoria: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procesar_beneficios;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-- 12. PACKAGE</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PACKAGE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-- 13. PACKAGE BODY</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PACKAGE BODY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'BRONZE';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'SILVER';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'GOLD';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calcular_categoria;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calcular_beneficio;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VARCHAR2(20);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cliente IN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c.id_cliente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COUNT(v.id_venta),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NVL(SUM(v.total),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 v</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v.id_sucursal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bitacora_beneficios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procesar_beneficios;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-- 14. TRIGGER DE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TRIGGER trg_auditoria_beneficios</w:t>
      </w:r>
    </w:p>
    <w:p>
      <w:pPr>
        <w:pStyle w:val="Normal"/>
        <w:spacing w:lineRule="exact" w:line="200" w:before="0" w:after="0"/>
        <w:rPr/>
      </w:pPr>
      <w:r>
        <w:rPr>
          <w:rFonts w:eastAsia="Courier New" w:cs="Courier New" w:ascii="Courier New" w:hAnsi="Courier New"/>
          <w:sz w:val="15"/>
          <w:szCs w:val="15"/>
        </w:rPr>
        <w:t>AFTER INSERT OR UPDATE</w:t>
      </w:r>
    </w:p>
    <w:p>
      <w:pPr>
        <w:pStyle w:val="Normal"/>
        <w:spacing w:lineRule="exact" w:line="200" w:before="0" w:after="0"/>
        <w:rPr/>
      </w:pPr>
      <w:r>
        <w:rPr>
          <w:rFonts w:eastAsia="Courier New" w:cs="Courier New" w:ascii="Courier New" w:hAnsi="Courier New"/>
          <w:sz w:val="15"/>
          <w:szCs w:val="15"/>
        </w:rPr>
        <w:t>ON bitacora_beneficios</w:t>
      </w:r>
    </w:p>
    <w:p>
      <w:pPr>
        <w:pStyle w:val="Normal"/>
        <w:spacing w:lineRule="exact" w:line="200" w:before="0" w:after="0"/>
        <w:rPr/>
      </w:pPr>
      <w:r>
        <w:rPr>
          <w:rFonts w:eastAsia="Courier New" w:cs="Courier New" w:ascii="Courier New" w:hAnsi="Courier New"/>
          <w:sz w:val="15"/>
          <w:szCs w:val="15"/>
        </w:rPr>
        <w:t>FOR EACH ROW</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 VARCHAR2(10);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INSERTING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 := 'INSERT';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UPDATING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 := 'UPDATE';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auditoria_beneficios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categoria_nueva,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total_nuevo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:NEW.total_compras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'TRAZABILIDAD: Registro automatizado en AUDITORIA_BENEFICIOS para ID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-- 15. P2 - SUCURSAL INEXISTENTE</w:t>
      </w:r>
    </w:p>
    <w:p>
      <w:pPr>
        <w:pStyle w:val="Normal"/>
        <w:spacing w:lineRule="exact" w:line="200" w:before="0" w:after="0"/>
        <w:rPr/>
      </w:pPr>
      <w:r>
        <w:rPr>
          <w:rFonts w:eastAsia="Courier New" w:cs="Courier New" w:ascii="Courier New" w:hAnsi="Courier New"/>
          <w:sz w:val="15"/>
          <w:szCs w:val="15"/>
        </w:rPr>
        <w:t>-- EXCEPCION PREDEFINIDA NO_DATA_FOUND</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NUMBER := 999;</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 v_sucursal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id_sucursal = v_sucursal_id;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'Sucursal encontrada: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NO_DATA_FOUND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La sucursal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no existe en el sistema.'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NO ESPERADO: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SQLERRM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-- 16. P3 - PERIODO INVALIDO</w:t>
      </w:r>
    </w:p>
    <w:p>
      <w:pPr>
        <w:pStyle w:val="Normal"/>
        <w:spacing w:lineRule="exact" w:line="200" w:before="0" w:after="0"/>
        <w:rPr/>
      </w:pPr>
      <w:r>
        <w:rPr>
          <w:rFonts w:eastAsia="Courier New" w:cs="Courier New" w:ascii="Courier New" w:hAnsi="Courier New"/>
          <w:sz w:val="15"/>
          <w:szCs w:val="15"/>
        </w:rPr>
        <w:t>-- EXCEPCION DEFINIDA POR EL USUARIO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v_fecha_inicio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'2026-08-31';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v_fecha_fin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ex_periodo_invalido 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v_fecha_inicio &gt; v_fecha_fin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 ex_periodo_invalido;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 valido.'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ex_periodo_invalido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El periodo es invalido.'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'La fecha de inicio no puede ser posterior a la fecha de fin.'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NO ESPERADO: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SQLERRM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-- 17. P4 - SUCURSAL SIN VENTAS</w:t>
      </w:r>
    </w:p>
    <w:p>
      <w:pPr>
        <w:pStyle w:val="Normal"/>
        <w:spacing w:lineRule="exact" w:line="200" w:before="0" w:after="0"/>
        <w:rPr/>
      </w:pPr>
      <w:r>
        <w:rPr>
          <w:rFonts w:eastAsia="Courier New" w:cs="Courier New" w:ascii="Courier New" w:hAnsi="Courier New"/>
          <w:sz w:val="15"/>
          <w:szCs w:val="15"/>
        </w:rPr>
        <w:t>-- EXCEPCION DEFINIDA POR EL USUARIO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NUMBER := 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v_fecha_inicio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'2026-09-01';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v_fecha_fin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'2026-09-30';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v_total_ventas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ex_sin_ventas 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 v_total_ventas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id_sucursal = v_sucursal_id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v_fecha_inicio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v_fecha_fin;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v_total_ventas = 0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 ex_sin_ventas;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'La sucursal tiene ventas en el 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ex_sin_ventas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La sucursal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no registro ventas en el 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NO ESPERADO: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SQLERRM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-- 18. P1 - PROCESAMIENTO NORMAL</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'2026-08-31'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-- 19. CONSULTAR BITACORA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FROM bitacora_beneficios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ORDER BY id_bitacora;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-- 20. CONSULTAR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id_auditoria,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categoria_nueva,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total_nuevo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FROM auditoria_beneficios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sectPr>
          <w:footerReference w:type="even" r:id="rId9"/>
          <w:footerReference w:type="default" r:id="rId10"/>
          <w:type w:val="nextPage"/>
          <w:pgSz w:w="12240" w:h="15840"/>
          <w:pgMar w:left="1440" w:right="1440" w:gutter="0" w:header="0" w:top="1440" w:footer="708" w:bottom="1300"/>
          <w:pgNumType w:fmt="decimal"/>
          <w:formProt w:val="false"/>
          <w:textDirection w:val="lrTb"/>
          <w:docGrid w:type="default" w:linePitch="360" w:charSpace="4096"/>
        </w:sectPr>
      </w:pPr>
      <w:r>
        <w:rPr>
          <w:rFonts w:eastAsia="Courier New" w:cs="Courier New" w:ascii="Courier New" w:hAnsi="Courier New"/>
          <w:sz w:val="15"/>
          <w:szCs w:val="15"/>
        </w:rPr>
        <w:t>ORDER BY id_auditoria;</w:t>
      </w:r>
    </w:p>
    <w:p>
      <w:pPr>
        <w:pStyle w:val="Heading1"/>
        <w:spacing w:before="0" w:after="120"/>
        <w:rPr/>
      </w:pPr>
      <w:bookmarkStart w:id="36" w:name="__RefHeading___Toc2951_256807712"/>
      <w:bookmarkEnd w:id="36"/>
      <w:r>
        <w:rPr>
          <w:rFonts w:eastAsia="Calibri" w:cs="Calibri" w:ascii="Calibri" w:hAnsi="Calibri"/>
          <w:b/>
          <w:bCs/>
          <w:color w:val="1F3864"/>
          <w:sz w:val="32"/>
          <w:szCs w:val="32"/>
        </w:rPr>
        <w:t>Anexo D: Diagramas</w:t>
      </w:r>
    </w:p>
    <w:p>
      <w:pPr>
        <w:pStyle w:val="Normal"/>
        <w:spacing w:before="0" w:after="100"/>
        <w:rPr/>
      </w:pPr>
      <w:r>
        <w:rPr>
          <w:rFonts w:eastAsia="Calibri" w:cs="Calibri"/>
          <w:i/>
          <w:iCs/>
          <w:color w:val="595959"/>
          <w:sz w:val="20"/>
          <w:szCs w:val="20"/>
        </w:rPr>
        <w:t>Desarrollado por: Max Herrera</w:t>
      </w:r>
    </w:p>
    <w:p>
      <w:pPr>
        <w:pStyle w:val="Normal"/>
        <w:spacing w:lineRule="exact" w:line="276" w:before="0" w:after="80"/>
        <w:jc w:val="both"/>
        <w:rPr/>
      </w:pPr>
      <w:r>
        <w:rPr>
          <w:rFonts w:eastAsia="Calibri" w:cs="Calibri"/>
          <w:sz w:val="22"/>
          <w:szCs w:val="22"/>
        </w:rPr>
        <w:t>El diagrama entidad-relación (primera figura) muestra las siete tablas del modelo y la relación lógica, sin clave foránea, entre la bitácora y la auditoría. El diagrama de dependencias (segunda figura) muestra qué objeto usa a cuál. Se recomienda ampliar la imagen en pantalla para leer los textos.</w:t>
      </w:r>
    </w:p>
    <w:p>
      <w:pPr>
        <w:pStyle w:val="Normal"/>
        <w:keepNext w:val="true"/>
        <w:spacing w:before="120" w:after="0"/>
        <w:jc w:val="center"/>
        <w:rPr/>
      </w:pPr>
      <w:r>
        <w:rPr/>
        <w:drawing>
          <wp:inline distT="0" distB="0" distL="0" distR="0">
            <wp:extent cx="5334000" cy="3819525"/>
            <wp:effectExtent l="0" t="0" r="0" b="0"/>
            <wp:docPr id="8" name="D1" descr="D1&#10;Diagrama del modelo de datos de TechMarket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1" descr="D1&#10;Diagrama del modelo de datos de TechMarket SpA."/>
                    <pic:cNvPicPr>
                      <a:picLocks noChangeAspect="1" noChangeArrowheads="1"/>
                    </pic:cNvPicPr>
                  </pic:nvPicPr>
                  <pic:blipFill>
                    <a:blip r:embed="rId11"/>
                    <a:stretch>
                      <a:fillRect/>
                    </a:stretch>
                  </pic:blipFill>
                  <pic:spPr bwMode="auto">
                    <a:xfrm>
                      <a:off x="0" y="0"/>
                      <a:ext cx="5334000" cy="3819525"/>
                    </a:xfrm>
                    <a:prstGeom prst="rect">
                      <a:avLst/>
                    </a:prstGeom>
                  </pic:spPr>
                </pic:pic>
              </a:graphicData>
            </a:graphic>
          </wp:inline>
        </w:drawing>
      </w:r>
    </w:p>
    <w:p>
      <w:pPr>
        <w:pStyle w:val="Normal"/>
        <w:spacing w:before="80" w:after="220"/>
        <w:jc w:val="center"/>
        <w:rPr/>
      </w:pPr>
      <w:r>
        <w:rPr>
          <w:rFonts w:eastAsia="Calibri" w:cs="Calibri"/>
          <w:i/>
          <w:iCs/>
          <w:sz w:val="19"/>
          <w:szCs w:val="19"/>
        </w:rPr>
        <w:t>Figura 19: Diagrama del modelo de datos de TechMarket SpA.</w:t>
      </w:r>
    </w:p>
    <w:p>
      <w:pPr>
        <w:pStyle w:val="Normal"/>
        <w:rPr/>
      </w:pPr>
      <w:r>
        <w:rPr/>
      </w:r>
      <w:r>
        <w:br w:type="page"/>
      </w:r>
    </w:p>
    <w:p>
      <w:pPr>
        <w:pStyle w:val="Normal"/>
        <w:keepNext w:val="true"/>
        <w:spacing w:before="0" w:after="0"/>
        <w:jc w:val="center"/>
        <w:rPr/>
      </w:pPr>
      <w:r>
        <w:rPr/>
        <w:drawing>
          <wp:inline distT="0" distB="0" distL="0" distR="0">
            <wp:extent cx="8858250" cy="4257675"/>
            <wp:effectExtent l="0" t="0" r="0" b="0"/>
            <wp:docPr id="9" name="D2" descr="D2&#10;Diagrama de dependencias entre funciones, procedimientos, package, triggers y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2" descr="D2&#10;Diagrama de dependencias entre funciones, procedimientos, package, triggers y tablas."/>
                    <pic:cNvPicPr>
                      <a:picLocks noChangeAspect="1" noChangeArrowheads="1"/>
                    </pic:cNvPicPr>
                  </pic:nvPicPr>
                  <pic:blipFill>
                    <a:blip r:embed="rId12"/>
                    <a:stretch>
                      <a:fillRect/>
                    </a:stretch>
                  </pic:blipFill>
                  <pic:spPr bwMode="auto">
                    <a:xfrm>
                      <a:off x="0" y="0"/>
                      <a:ext cx="8858250" cy="4257675"/>
                    </a:xfrm>
                    <a:prstGeom prst="rect">
                      <a:avLst/>
                    </a:prstGeom>
                  </pic:spPr>
                </pic:pic>
              </a:graphicData>
            </a:graphic>
          </wp:inline>
        </w:drawing>
      </w:r>
    </w:p>
    <w:p>
      <w:pPr>
        <w:pStyle w:val="Normal"/>
        <w:spacing w:before="80" w:after="220"/>
        <w:jc w:val="center"/>
        <w:rPr/>
      </w:pPr>
      <w:r>
        <w:rPr>
          <w:rFonts w:eastAsia="Calibri" w:cs="Calibri"/>
          <w:i/>
          <w:iCs/>
          <w:sz w:val="19"/>
          <w:szCs w:val="19"/>
        </w:rPr>
        <w:t>Figura 20: Diagrama de dependencias entre funciones, procedimientos, package, triggers y tablas.</w:t>
      </w:r>
    </w:p>
    <w:sectPr>
      <w:footerReference w:type="even" r:id="rId13"/>
      <w:footerReference w:type="default" r:id="rId14"/>
      <w:footerReference w:type="first" r:id="rId15"/>
      <w:type w:val="nextPage"/>
      <w:pgSz w:orient="landscape" w:w="15840" w:h="12240"/>
      <w:pgMar w:left="900" w:right="900" w:gutter="0" w:header="0" w:top="900" w:footer="708" w:bottom="9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TechMarket SpA – EP2 BDY1103  |  Página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TechMarket SpA – EP2 BDY1103  |  Página </w:t>
    </w:r>
    <w:r>
      <w:rPr/>
      <w:fldChar w:fldCharType="begin"/>
    </w:r>
    <w:r>
      <w:rPr/>
      <w:instrText xml:space="preserve"> PAGE </w:instrText>
    </w:r>
    <w:r>
      <w:rPr/>
      <w:fldChar w:fldCharType="separate"/>
    </w:r>
    <w:r>
      <w:rPr/>
      <w:t>53</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60"/>
      <w:outlineLvl w:val="0"/>
    </w:pPr>
    <w:rPr>
      <w:rFonts w:ascii="Calibri" w:hAnsi="Calibri" w:eastAsia="Calibri" w:cs="Calibri"/>
      <w:b/>
      <w:bCs/>
      <w:sz w:val="32"/>
      <w:szCs w:val="32"/>
    </w:rPr>
  </w:style>
  <w:style w:type="paragraph" w:styleId="Heading2">
    <w:name w:val="Heading 2"/>
    <w:basedOn w:val="Heading"/>
    <w:qFormat/>
    <w:pPr>
      <w:spacing w:before="240" w:after="120"/>
      <w:outlineLvl w:val="1"/>
    </w:pPr>
    <w:rPr>
      <w:rFonts w:ascii="Calibri" w:hAnsi="Calibri" w:eastAsia="Calibri" w:cs="Calibri"/>
      <w:b/>
      <w:bCs/>
      <w:sz w:val="26"/>
      <w:szCs w:val="26"/>
    </w:rPr>
  </w:style>
  <w:style w:type="paragraph" w:styleId="Heading3">
    <w:name w:val="Heading 3"/>
    <w:basedOn w:val="Heading"/>
    <w:qFormat/>
    <w:pPr>
      <w:spacing w:before="160" w:after="80"/>
      <w:outlineLvl w:val="2"/>
    </w:pPr>
    <w:rPr>
      <w:rFonts w:ascii="Calibri" w:hAnsi="Calibri" w:eastAsia="Calibri" w:cs="Calibri"/>
      <w:b/>
      <w:bCs/>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53</Pages>
  <Words>9493</Words>
  <Characters>63725</Characters>
  <CharactersWithSpaces>79835</CharactersWithSpaces>
  <Paragraphs>2329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2026-10-26T19:32:51Z</dcterms:created>
  <dc:creator>Max Herrera, Danyer Cordova, Pablo Quintino</dc:creator>
  <dc:description/>
  <dc:language>en-US</dc:language>
  <cp:lastModifiedBy/>
  <dcterms:modified xsi:type="dcterms:W3CDTF">2026-10-26T19:33:01Z</dcterms:modified>
  <cp:revision>2</cp:revision>
  <dc:subject/>
  <dc:title>Informe EP2 – TechMarket SpA</dc:title>
</cp:coreProperties>
</file>