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Global Bike procurement analysis 2026</w:t>
      </w:r>
    </w:p>
    <w:p>
      <w:pPr>
        <w:pBdr>
          <w:bottom w:val="single" w:sz="12" w:space="8" w:color="2A78D6"/>
        </w:pBdr>
      </w:pPr>
      <w:r>
        <w:rPr>
          <w:b/>
          <w:color w:val="2A78D6"/>
          <w:sz w:val="32"/>
        </w:rPr>
        <w:t>Final report</w:t>
      </w:r>
    </w:p>
    <w:p>
      <w:pPr>
        <w:spacing w:before="200"/>
      </w:pPr>
      <w:r>
        <w:rPr>
          <w:color w:val="52514E"/>
          <w:sz w:val="23"/>
        </w:rPr>
        <w:t>Prepared for Antonio Rodriguez, Head of Operations, Global Bike Inc.</w:t>
      </w:r>
    </w:p>
    <w:p>
      <w:r>
        <w:rPr>
          <w:color w:val="52514E"/>
          <w:sz w:val="20"/>
        </w:rPr>
        <w:t>US purchasing organization US00 · Reporting period Oct 2025 – Sep 2026 · 22 October 2026</w:t>
      </w:r>
    </w:p>
    <w:p/>
    <w:p/>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4706"/>
        <w:gridCol w:w="4706"/>
      </w:tblGrid>
      <w:tr>
        <w:trPr>
          <w:cantSplit/>
          <w:tblHeader/>
        </w:trPr>
        <w:tc>
          <w:tcPr>
            <w:tcW w:type="dxa" w:w="2692"/>
            <w:shd w:val="clear" w:color="auto" w:fill="1F3A5F"/>
          </w:tcPr>
          <w:p>
            <w:pPr>
              <w:spacing w:after="0" w:before="0" w:line="240" w:lineRule="auto"/>
            </w:pPr>
            <w:r>
              <w:rPr>
                <w:b/>
                <w:color w:val="FFFFFF"/>
                <w:sz w:val="18"/>
              </w:rPr>
              <w:t>Setting</w:t>
            </w:r>
          </w:p>
        </w:tc>
        <w:tc>
          <w:tcPr>
            <w:tcW w:type="dxa" w:w="6380"/>
            <w:shd w:val="clear" w:color="auto" w:fill="1F3A5F"/>
          </w:tcPr>
          <w:p>
            <w:pPr>
              <w:spacing w:after="0" w:before="0" w:line="240" w:lineRule="auto"/>
            </w:pPr>
            <w:r>
              <w:rPr>
                <w:b/>
                <w:color w:val="FFFFFF"/>
                <w:sz w:val="18"/>
              </w:rPr>
              <w:t>Agreed scope</w:t>
            </w:r>
          </w:p>
        </w:tc>
      </w:tr>
      <w:tr>
        <w:trPr>
          <w:cantSplit/>
        </w:trPr>
        <w:tc>
          <w:tcPr>
            <w:tcW w:type="dxa" w:w="2692"/>
          </w:tcPr>
          <w:p>
            <w:pPr>
              <w:spacing w:after="0" w:before="0" w:line="240" w:lineRule="auto"/>
            </w:pPr>
            <w:r>
              <w:rPr>
                <w:sz w:val="18"/>
              </w:rPr>
              <w:t>Team and members</w:t>
            </w:r>
          </w:p>
        </w:tc>
        <w:tc>
          <w:tcPr>
            <w:tcW w:type="dxa" w:w="6380"/>
          </w:tcPr>
          <w:p>
            <w:pPr>
              <w:spacing w:after="0" w:before="0" w:line="240" w:lineRule="auto"/>
            </w:pPr>
            <w:r>
              <w:rPr>
                <w:sz w:val="18"/>
              </w:rPr>
              <w:t>_________________________________________________</w:t>
            </w:r>
          </w:p>
        </w:tc>
      </w:tr>
      <w:tr>
        <w:trPr>
          <w:cantSplit/>
        </w:trPr>
        <w:tc>
          <w:tcPr>
            <w:tcW w:type="dxa" w:w="2692"/>
            <w:shd w:val="clear" w:color="auto" w:fill="F3F6FA"/>
          </w:tcPr>
          <w:p>
            <w:pPr>
              <w:spacing w:after="0" w:before="0" w:line="240" w:lineRule="auto"/>
            </w:pPr>
            <w:r>
              <w:rPr>
                <w:sz w:val="18"/>
              </w:rPr>
              <w:t>US organizational scope</w:t>
            </w:r>
          </w:p>
        </w:tc>
        <w:tc>
          <w:tcPr>
            <w:tcW w:type="dxa" w:w="6380"/>
            <w:shd w:val="clear" w:color="auto" w:fill="F3F6FA"/>
          </w:tcPr>
          <w:p>
            <w:pPr>
              <w:spacing w:after="0" w:before="0" w:line="240" w:lineRule="auto"/>
            </w:pPr>
            <w:r>
              <w:rPr>
                <w:sz w:val="18"/>
              </w:rPr>
              <w:t xml:space="preserve">Company code </w:t>
            </w:r>
            <w:r>
              <w:rPr>
                <w:b/>
                <w:sz w:val="18"/>
              </w:rPr>
              <w:t>US00</w:t>
            </w:r>
            <w:r>
              <w:rPr>
                <w:sz w:val="18"/>
              </w:rPr>
              <w:t xml:space="preserve">, purchasing organization </w:t>
            </w:r>
            <w:r>
              <w:rPr>
                <w:b/>
                <w:sz w:val="18"/>
              </w:rPr>
              <w:t>US00</w:t>
            </w:r>
          </w:p>
        </w:tc>
      </w:tr>
      <w:tr>
        <w:trPr>
          <w:cantSplit/>
        </w:trPr>
        <w:tc>
          <w:tcPr>
            <w:tcW w:type="dxa" w:w="2692"/>
          </w:tcPr>
          <w:p>
            <w:pPr>
              <w:spacing w:after="0" w:before="0" w:line="240" w:lineRule="auto"/>
            </w:pPr>
            <w:r>
              <w:rPr>
                <w:sz w:val="18"/>
              </w:rPr>
              <w:t>Plant scope</w:t>
            </w:r>
          </w:p>
        </w:tc>
        <w:tc>
          <w:tcPr>
            <w:tcW w:type="dxa" w:w="6380"/>
          </w:tcPr>
          <w:p>
            <w:pPr>
              <w:spacing w:after="0" w:before="0" w:line="240" w:lineRule="auto"/>
            </w:pPr>
            <w:r>
              <w:rPr>
                <w:sz w:val="18"/>
              </w:rPr>
              <w:t xml:space="preserve">All US plants on in-scope POs: </w:t>
            </w:r>
            <w:r>
              <w:rPr>
                <w:b/>
                <w:sz w:val="18"/>
              </w:rPr>
              <w:t>MI00</w:t>
            </w:r>
            <w:r>
              <w:rPr>
                <w:sz w:val="18"/>
              </w:rPr>
              <w:t xml:space="preserve"> Miami, </w:t>
            </w:r>
            <w:r>
              <w:rPr>
                <w:b/>
                <w:sz w:val="18"/>
              </w:rPr>
              <w:t>DL00</w:t>
            </w:r>
            <w:r>
              <w:rPr>
                <w:sz w:val="18"/>
              </w:rPr>
              <w:t xml:space="preserve"> Dallas, </w:t>
            </w:r>
            <w:r>
              <w:rPr>
                <w:b/>
                <w:sz w:val="18"/>
              </w:rPr>
              <w:t>SD00</w:t>
            </w:r>
            <w:r>
              <w:rPr>
                <w:sz w:val="18"/>
              </w:rPr>
              <w:t xml:space="preserve"> San Diego</w:t>
            </w:r>
          </w:p>
        </w:tc>
      </w:tr>
      <w:tr>
        <w:trPr>
          <w:cantSplit/>
        </w:trPr>
        <w:tc>
          <w:tcPr>
            <w:tcW w:type="dxa" w:w="2692"/>
            <w:shd w:val="clear" w:color="auto" w:fill="F3F6FA"/>
          </w:tcPr>
          <w:p>
            <w:pPr>
              <w:spacing w:after="0" w:before="0" w:line="240" w:lineRule="auto"/>
            </w:pPr>
            <w:r>
              <w:rPr>
                <w:sz w:val="18"/>
              </w:rPr>
              <w:t>Reporting period</w:t>
            </w:r>
          </w:p>
        </w:tc>
        <w:tc>
          <w:tcPr>
            <w:tcW w:type="dxa" w:w="6380"/>
            <w:shd w:val="clear" w:color="auto" w:fill="F3F6FA"/>
          </w:tcPr>
          <w:p>
            <w:pPr>
              <w:spacing w:after="0" w:before="0" w:line="240" w:lineRule="auto"/>
            </w:pPr>
            <w:r>
              <w:rPr>
                <w:sz w:val="18"/>
              </w:rPr>
              <w:t xml:space="preserve">From </w:t>
            </w:r>
            <w:r>
              <w:rPr>
                <w:b/>
                <w:sz w:val="18"/>
              </w:rPr>
              <w:t>1 Oct 2025</w:t>
            </w:r>
            <w:r>
              <w:rPr>
                <w:sz w:val="18"/>
              </w:rPr>
              <w:t xml:space="preserve"> to </w:t>
            </w:r>
            <w:r>
              <w:rPr>
                <w:b/>
                <w:sz w:val="18"/>
              </w:rPr>
              <w:t>30 Sep 2026</w:t>
            </w:r>
            <w:r>
              <w:rPr>
                <w:sz w:val="18"/>
              </w:rPr>
              <w:t xml:space="preserve"> (last 12 complete months, by PO Document Date)</w:t>
            </w:r>
          </w:p>
        </w:tc>
      </w:tr>
      <w:tr>
        <w:trPr>
          <w:cantSplit/>
        </w:trPr>
        <w:tc>
          <w:tcPr>
            <w:tcW w:type="dxa" w:w="2692"/>
          </w:tcPr>
          <w:p>
            <w:pPr>
              <w:spacing w:after="0" w:before="0" w:line="240" w:lineRule="auto"/>
            </w:pPr>
            <w:r>
              <w:rPr>
                <w:sz w:val="18"/>
              </w:rPr>
              <w:t>Currency and tools</w:t>
            </w:r>
          </w:p>
        </w:tc>
        <w:tc>
          <w:tcPr>
            <w:tcW w:type="dxa" w:w="6380"/>
          </w:tcPr>
          <w:p>
            <w:pPr>
              <w:spacing w:after="0" w:before="0" w:line="240" w:lineRule="auto"/>
            </w:pPr>
            <w:r>
              <w:rPr>
                <w:sz w:val="18"/>
              </w:rPr>
              <w:t xml:space="preserve">Currency </w:t>
            </w:r>
            <w:r>
              <w:rPr>
                <w:b/>
                <w:sz w:val="18"/>
              </w:rPr>
              <w:t>USD</w:t>
            </w:r>
            <w:r>
              <w:rPr>
                <w:sz w:val="18"/>
              </w:rPr>
              <w:t xml:space="preserve">; tool </w:t>
            </w:r>
            <w:r>
              <w:rPr>
                <w:b/>
                <w:sz w:val="18"/>
              </w:rPr>
              <w:t>Python</w:t>
            </w:r>
            <w:r>
              <w:rPr>
                <w:sz w:val="18"/>
              </w:rPr>
              <w:t xml:space="preserve"> (pandas, matplotlib, Jupyter)</w:t>
            </w:r>
          </w:p>
        </w:tc>
      </w:tr>
    </w:tbl>
    <w:p>
      <w:pPr>
        <w:spacing w:after="40"/>
      </w:pPr>
    </w:p>
    <w:p>
      <w:pPr>
        <w:pStyle w:val="Heading1"/>
        <w:pBdr>
          <w:bottom w:val="single" w:sz="8" w:space="4" w:color="1F3A5F"/>
        </w:pBdr>
      </w:pPr>
      <w:r>
        <w:t>1. Questions and scope</w:t>
      </w:r>
    </w:p>
    <w:p>
      <w:pPr>
        <w:pStyle w:val="Heading2"/>
      </w:pPr>
      <w:r>
        <w:t>1.1 Business context</w:t>
      </w:r>
    </w:p>
    <w:p>
      <w:r>
        <w:t>Antonio's monthly procurement report lists many purchasing records but doesn't show patterns. Our analysis turns the US purchase orders into comparisons that support the next procurement review. It keeps Global Bike's product strategy (quality, performance, durability, innovation) and its procurement strategy (long-term strategic suppliers, a diversified network, decisions on total cost of ownership rather than price alone) in view.</w:t>
      </w:r>
    </w:p>
    <w:p>
      <w:pPr>
        <w:pStyle w:val="Heading2"/>
      </w:pPr>
      <w:r>
        <w:t>1.2 Analytical questions</w:t>
      </w:r>
    </w:p>
    <w:p>
      <w:r>
        <w:t>Each question specifies a population (US00 purchase orders), a period (the reporting window above), a comparison and a measure.</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2353"/>
        <w:gridCol w:w="2353"/>
        <w:gridCol w:w="2353"/>
        <w:gridCol w:w="2353"/>
      </w:tblGrid>
      <w:tr>
        <w:trPr>
          <w:cantSplit/>
          <w:tblHeader/>
        </w:trPr>
        <w:tc>
          <w:tcPr>
            <w:tcW w:type="dxa" w:w="313"/>
            <w:shd w:val="clear" w:color="auto" w:fill="1F3A5F"/>
          </w:tcPr>
          <w:p>
            <w:pPr>
              <w:spacing w:after="0" w:before="0" w:line="240" w:lineRule="auto"/>
            </w:pPr>
            <w:r>
              <w:rPr>
                <w:b/>
                <w:color w:val="FFFFFF"/>
                <w:sz w:val="18"/>
              </w:rPr>
              <w:t>#</w:t>
            </w:r>
          </w:p>
        </w:tc>
        <w:tc>
          <w:tcPr>
            <w:tcW w:type="dxa" w:w="2086"/>
            <w:shd w:val="clear" w:color="auto" w:fill="1F3A5F"/>
          </w:tcPr>
          <w:p>
            <w:pPr>
              <w:spacing w:after="0" w:before="0" w:line="240" w:lineRule="auto"/>
            </w:pPr>
            <w:r>
              <w:rPr>
                <w:b/>
                <w:color w:val="FFFFFF"/>
                <w:sz w:val="18"/>
              </w:rPr>
              <w:t>Dimension</w:t>
            </w:r>
          </w:p>
        </w:tc>
        <w:tc>
          <w:tcPr>
            <w:tcW w:type="dxa" w:w="3337"/>
            <w:shd w:val="clear" w:color="auto" w:fill="1F3A5F"/>
          </w:tcPr>
          <w:p>
            <w:pPr>
              <w:spacing w:after="0" w:before="0" w:line="240" w:lineRule="auto"/>
            </w:pPr>
            <w:r>
              <w:rPr>
                <w:b/>
                <w:color w:val="FFFFFF"/>
                <w:sz w:val="18"/>
              </w:rPr>
              <w:t>Question</w:t>
            </w:r>
          </w:p>
        </w:tc>
        <w:tc>
          <w:tcPr>
            <w:tcW w:type="dxa" w:w="3337"/>
            <w:shd w:val="clear" w:color="auto" w:fill="1F3A5F"/>
          </w:tcPr>
          <w:p>
            <w:pPr>
              <w:spacing w:after="0" w:before="0" w:line="240" w:lineRule="auto"/>
            </w:pPr>
            <w:r>
              <w:rPr>
                <w:b/>
                <w:color w:val="FFFFFF"/>
                <w:sz w:val="18"/>
              </w:rPr>
              <w:t>Decision it supports</w:t>
            </w:r>
          </w:p>
        </w:tc>
      </w:tr>
      <w:tr>
        <w:trPr>
          <w:cantSplit/>
        </w:trPr>
        <w:tc>
          <w:tcPr>
            <w:tcW w:type="dxa" w:w="313"/>
          </w:tcPr>
          <w:p>
            <w:pPr>
              <w:spacing w:after="0" w:before="0" w:line="240" w:lineRule="auto"/>
            </w:pPr>
            <w:r>
              <w:rPr>
                <w:sz w:val="18"/>
              </w:rPr>
              <w:t>Q1</w:t>
            </w:r>
          </w:p>
        </w:tc>
        <w:tc>
          <w:tcPr>
            <w:tcW w:type="dxa" w:w="2086"/>
          </w:tcPr>
          <w:p>
            <w:pPr>
              <w:spacing w:after="0" w:before="0" w:line="240" w:lineRule="auto"/>
            </w:pPr>
            <w:r>
              <w:rPr>
                <w:sz w:val="18"/>
              </w:rPr>
              <w:t>Supplier</w:t>
            </w:r>
          </w:p>
        </w:tc>
        <w:tc>
          <w:tcPr>
            <w:tcW w:type="dxa" w:w="3337"/>
          </w:tcPr>
          <w:p>
            <w:pPr>
              <w:spacing w:after="0" w:before="0" w:line="240" w:lineRule="auto"/>
            </w:pPr>
            <w:r>
              <w:rPr>
                <w:sz w:val="18"/>
              </w:rPr>
              <w:t>Which top 10 suppliers account for the largest share of Net PO value, and what share is concentrated in the top 20% of suppliers?</w:t>
            </w:r>
          </w:p>
        </w:tc>
        <w:tc>
          <w:tcPr>
            <w:tcW w:type="dxa" w:w="3337"/>
          </w:tcPr>
          <w:p>
            <w:pPr>
              <w:spacing w:after="0" w:before="0" w:line="240" w:lineRule="auto"/>
            </w:pPr>
            <w:r>
              <w:rPr>
                <w:sz w:val="18"/>
              </w:rPr>
              <w:t>Where volume negotiation and long-term contracts pay off; how dependent we are</w:t>
            </w:r>
          </w:p>
        </w:tc>
      </w:tr>
      <w:tr>
        <w:trPr>
          <w:cantSplit/>
        </w:trPr>
        <w:tc>
          <w:tcPr>
            <w:tcW w:type="dxa" w:w="313"/>
            <w:shd w:val="clear" w:color="auto" w:fill="F3F6FA"/>
          </w:tcPr>
          <w:p>
            <w:pPr>
              <w:spacing w:after="0" w:before="0" w:line="240" w:lineRule="auto"/>
            </w:pPr>
            <w:r>
              <w:rPr>
                <w:sz w:val="18"/>
              </w:rPr>
              <w:t>Q5</w:t>
            </w:r>
          </w:p>
        </w:tc>
        <w:tc>
          <w:tcPr>
            <w:tcW w:type="dxa" w:w="2086"/>
            <w:shd w:val="clear" w:color="auto" w:fill="F3F6FA"/>
          </w:tcPr>
          <w:p>
            <w:pPr>
              <w:spacing w:after="0" w:before="0" w:line="240" w:lineRule="auto"/>
            </w:pPr>
            <w:r>
              <w:rPr>
                <w:sz w:val="18"/>
              </w:rPr>
              <w:t>Supplier (order pattern)</w:t>
            </w:r>
          </w:p>
        </w:tc>
        <w:tc>
          <w:tcPr>
            <w:tcW w:type="dxa" w:w="3337"/>
            <w:shd w:val="clear" w:color="auto" w:fill="F3F6FA"/>
          </w:tcPr>
          <w:p>
            <w:pPr>
              <w:spacing w:after="0" w:before="0" w:line="240" w:lineRule="auto"/>
            </w:pPr>
            <w:r>
              <w:rPr>
                <w:sz w:val="18"/>
              </w:rPr>
              <w:t>How do suppliers differ in PO count and average net value per PO, and which receive many small orders that could be consolidated?</w:t>
            </w:r>
          </w:p>
        </w:tc>
        <w:tc>
          <w:tcPr>
            <w:tcW w:type="dxa" w:w="3337"/>
            <w:shd w:val="clear" w:color="auto" w:fill="F3F6FA"/>
          </w:tcPr>
          <w:p>
            <w:pPr>
              <w:spacing w:after="0" w:before="0" w:line="240" w:lineRule="auto"/>
            </w:pPr>
            <w:r>
              <w:rPr>
                <w:sz w:val="18"/>
              </w:rPr>
              <w:t>Which suppliers to move to contracts / scheduling agreements</w:t>
            </w:r>
          </w:p>
        </w:tc>
      </w:tr>
      <w:tr>
        <w:trPr>
          <w:cantSplit/>
        </w:trPr>
        <w:tc>
          <w:tcPr>
            <w:tcW w:type="dxa" w:w="313"/>
          </w:tcPr>
          <w:p>
            <w:pPr>
              <w:spacing w:after="0" w:before="0" w:line="240" w:lineRule="auto"/>
            </w:pPr>
            <w:r>
              <w:rPr>
                <w:sz w:val="18"/>
              </w:rPr>
              <w:t>Q2</w:t>
            </w:r>
          </w:p>
        </w:tc>
        <w:tc>
          <w:tcPr>
            <w:tcW w:type="dxa" w:w="2086"/>
          </w:tcPr>
          <w:p>
            <w:pPr>
              <w:spacing w:after="0" w:before="0" w:line="240" w:lineRule="auto"/>
            </w:pPr>
            <w:r>
              <w:rPr>
                <w:sz w:val="18"/>
              </w:rPr>
              <w:t>Geography</w:t>
            </w:r>
          </w:p>
        </w:tc>
        <w:tc>
          <w:tcPr>
            <w:tcW w:type="dxa" w:w="3337"/>
          </w:tcPr>
          <w:p>
            <w:pPr>
              <w:spacing w:after="0" w:before="0" w:line="240" w:lineRule="auto"/>
            </w:pPr>
            <w:r>
              <w:rPr>
                <w:sz w:val="18"/>
              </w:rPr>
              <w:t>How are Net PO value and PO item volume distributed across supplier countries and US states, and what share relies on overseas vs domestic suppliers?</w:t>
            </w:r>
          </w:p>
        </w:tc>
        <w:tc>
          <w:tcPr>
            <w:tcW w:type="dxa" w:w="3337"/>
          </w:tcPr>
          <w:p>
            <w:pPr>
              <w:spacing w:after="0" w:before="0" w:line="240" w:lineRule="auto"/>
            </w:pPr>
            <w:r>
              <w:rPr>
                <w:sz w:val="18"/>
              </w:rPr>
              <w:t>Whether the network matches the "globally diversified" strategy</w:t>
            </w:r>
          </w:p>
        </w:tc>
      </w:tr>
      <w:tr>
        <w:trPr>
          <w:cantSplit/>
        </w:trPr>
        <w:tc>
          <w:tcPr>
            <w:tcW w:type="dxa" w:w="313"/>
            <w:shd w:val="clear" w:color="auto" w:fill="F3F6FA"/>
          </w:tcPr>
          <w:p>
            <w:pPr>
              <w:spacing w:after="0" w:before="0" w:line="240" w:lineRule="auto"/>
            </w:pPr>
            <w:r>
              <w:rPr>
                <w:sz w:val="18"/>
              </w:rPr>
              <w:t>Q6</w:t>
            </w:r>
          </w:p>
        </w:tc>
        <w:tc>
          <w:tcPr>
            <w:tcW w:type="dxa" w:w="2086"/>
            <w:shd w:val="clear" w:color="auto" w:fill="F3F6FA"/>
          </w:tcPr>
          <w:p>
            <w:pPr>
              <w:spacing w:after="0" w:before="0" w:line="240" w:lineRule="auto"/>
            </w:pPr>
            <w:r>
              <w:rPr>
                <w:sz w:val="18"/>
              </w:rPr>
              <w:t>Geography (plant link)</w:t>
            </w:r>
          </w:p>
        </w:tc>
        <w:tc>
          <w:tcPr>
            <w:tcW w:type="dxa" w:w="3337"/>
            <w:shd w:val="clear" w:color="auto" w:fill="F3F6FA"/>
          </w:tcPr>
          <w:p>
            <w:pPr>
              <w:spacing w:after="0" w:before="0" w:line="240" w:lineRule="auto"/>
            </w:pPr>
            <w:r>
              <w:rPr>
                <w:sz w:val="18"/>
              </w:rPr>
              <w:t>For each US receiving plant, what share of its Net PO value comes from each supplier country/region, and does any plant depend on a single region?</w:t>
            </w:r>
          </w:p>
        </w:tc>
        <w:tc>
          <w:tcPr>
            <w:tcW w:type="dxa" w:w="3337"/>
            <w:shd w:val="clear" w:color="auto" w:fill="F3F6FA"/>
          </w:tcPr>
          <w:p>
            <w:pPr>
              <w:spacing w:after="0" w:before="0" w:line="240" w:lineRule="auto"/>
            </w:pPr>
            <w:r>
              <w:rPr>
                <w:sz w:val="18"/>
              </w:rPr>
              <w:t>Plant-level regional exposure</w:t>
            </w:r>
          </w:p>
        </w:tc>
      </w:tr>
      <w:tr>
        <w:trPr>
          <w:cantSplit/>
        </w:trPr>
        <w:tc>
          <w:tcPr>
            <w:tcW w:type="dxa" w:w="313"/>
          </w:tcPr>
          <w:p>
            <w:pPr>
              <w:spacing w:after="0" w:before="0" w:line="240" w:lineRule="auto"/>
            </w:pPr>
            <w:r>
              <w:rPr>
                <w:sz w:val="18"/>
              </w:rPr>
              <w:t>Q3</w:t>
            </w:r>
          </w:p>
        </w:tc>
        <w:tc>
          <w:tcPr>
            <w:tcW w:type="dxa" w:w="2086"/>
          </w:tcPr>
          <w:p>
            <w:pPr>
              <w:spacing w:after="0" w:before="0" w:line="240" w:lineRule="auto"/>
            </w:pPr>
            <w:r>
              <w:rPr>
                <w:sz w:val="18"/>
              </w:rPr>
              <w:t>Time</w:t>
            </w:r>
          </w:p>
        </w:tc>
        <w:tc>
          <w:tcPr>
            <w:tcW w:type="dxa" w:w="3337"/>
          </w:tcPr>
          <w:p>
            <w:pPr>
              <w:spacing w:after="0" w:before="0" w:line="240" w:lineRule="auto"/>
            </w:pPr>
            <w:r>
              <w:rPr>
                <w:sz w:val="18"/>
              </w:rPr>
              <w:t>How have monthly Net PO value and PO count evolved over the last 12 complete months, and are there seasonal spikes?</w:t>
            </w:r>
          </w:p>
        </w:tc>
        <w:tc>
          <w:tcPr>
            <w:tcW w:type="dxa" w:w="3337"/>
          </w:tcPr>
          <w:p>
            <w:pPr>
              <w:spacing w:after="0" w:before="0" w:line="240" w:lineRule="auto"/>
            </w:pPr>
            <w:r>
              <w:rPr>
                <w:sz w:val="18"/>
              </w:rPr>
              <w:t>Timing of negotiations and framework contracts</w:t>
            </w:r>
          </w:p>
        </w:tc>
      </w:tr>
      <w:tr>
        <w:trPr>
          <w:cantSplit/>
        </w:trPr>
        <w:tc>
          <w:tcPr>
            <w:tcW w:type="dxa" w:w="313"/>
            <w:shd w:val="clear" w:color="auto" w:fill="F3F6FA"/>
          </w:tcPr>
          <w:p>
            <w:pPr>
              <w:spacing w:after="0" w:before="0" w:line="240" w:lineRule="auto"/>
            </w:pPr>
            <w:r>
              <w:rPr>
                <w:sz w:val="18"/>
              </w:rPr>
              <w:t>Q7</w:t>
            </w:r>
          </w:p>
        </w:tc>
        <w:tc>
          <w:tcPr>
            <w:tcW w:type="dxa" w:w="2086"/>
            <w:shd w:val="clear" w:color="auto" w:fill="F3F6FA"/>
          </w:tcPr>
          <w:p>
            <w:pPr>
              <w:spacing w:after="0" w:before="0" w:line="240" w:lineRule="auto"/>
            </w:pPr>
            <w:r>
              <w:rPr>
                <w:sz w:val="18"/>
              </w:rPr>
              <w:t>Time (price)</w:t>
            </w:r>
          </w:p>
        </w:tc>
        <w:tc>
          <w:tcPr>
            <w:tcW w:type="dxa" w:w="3337"/>
            <w:shd w:val="clear" w:color="auto" w:fill="F3F6FA"/>
          </w:tcPr>
          <w:p>
            <w:pPr>
              <w:spacing w:after="0" w:before="0" w:line="240" w:lineRule="auto"/>
            </w:pPr>
            <w:r>
              <w:rPr>
                <w:sz w:val="18"/>
              </w:rPr>
              <w:t>How has the average unit price of the five highest-value materials changed month by month (fixed-base and chain indices)?</w:t>
            </w:r>
          </w:p>
        </w:tc>
        <w:tc>
          <w:tcPr>
            <w:tcW w:type="dxa" w:w="3337"/>
            <w:shd w:val="clear" w:color="auto" w:fill="F3F6FA"/>
          </w:tcPr>
          <w:p>
            <w:pPr>
              <w:spacing w:after="0" w:before="0" w:line="240" w:lineRule="auto"/>
            </w:pPr>
            <w:r>
              <w:rPr>
                <w:sz w:val="18"/>
              </w:rPr>
              <w:t>Whether fixed-price agreements are supported by price stability</w:t>
            </w:r>
          </w:p>
        </w:tc>
      </w:tr>
      <w:tr>
        <w:trPr>
          <w:cantSplit/>
        </w:trPr>
        <w:tc>
          <w:tcPr>
            <w:tcW w:type="dxa" w:w="313"/>
          </w:tcPr>
          <w:p>
            <w:pPr>
              <w:spacing w:after="0" w:before="0" w:line="240" w:lineRule="auto"/>
            </w:pPr>
            <w:r>
              <w:rPr>
                <w:sz w:val="18"/>
              </w:rPr>
              <w:t>Q4</w:t>
            </w:r>
          </w:p>
        </w:tc>
        <w:tc>
          <w:tcPr>
            <w:tcW w:type="dxa" w:w="2086"/>
          </w:tcPr>
          <w:p>
            <w:pPr>
              <w:spacing w:after="0" w:before="0" w:line="240" w:lineRule="auto"/>
            </w:pPr>
            <w:r>
              <w:rPr>
                <w:sz w:val="18"/>
              </w:rPr>
              <w:t>Additional variable: material</w:t>
            </w:r>
          </w:p>
        </w:tc>
        <w:tc>
          <w:tcPr>
            <w:tcW w:type="dxa" w:w="3337"/>
          </w:tcPr>
          <w:p>
            <w:pPr>
              <w:spacing w:after="0" w:before="0" w:line="240" w:lineRule="auto"/>
            </w:pPr>
            <w:r>
              <w:rPr>
                <w:sz w:val="18"/>
              </w:rPr>
              <w:t>What is the breakdown of Net PO value by material group, and which suppliers dominate the critical, high-performance categories?</w:t>
            </w:r>
          </w:p>
        </w:tc>
        <w:tc>
          <w:tcPr>
            <w:tcW w:type="dxa" w:w="3337"/>
          </w:tcPr>
          <w:p>
            <w:pPr>
              <w:spacing w:after="0" w:before="0" w:line="240" w:lineRule="auto"/>
            </w:pPr>
            <w:r>
              <w:rPr>
                <w:sz w:val="18"/>
              </w:rPr>
              <w:t>Where single suppliers control critical categories</w:t>
            </w:r>
          </w:p>
        </w:tc>
      </w:tr>
      <w:tr>
        <w:trPr>
          <w:cantSplit/>
        </w:trPr>
        <w:tc>
          <w:tcPr>
            <w:tcW w:type="dxa" w:w="313"/>
            <w:shd w:val="clear" w:color="auto" w:fill="F3F6FA"/>
          </w:tcPr>
          <w:p>
            <w:pPr>
              <w:spacing w:after="0" w:before="0" w:line="240" w:lineRule="auto"/>
            </w:pPr>
            <w:r>
              <w:rPr>
                <w:sz w:val="18"/>
              </w:rPr>
              <w:t>Q8</w:t>
            </w:r>
          </w:p>
        </w:tc>
        <w:tc>
          <w:tcPr>
            <w:tcW w:type="dxa" w:w="2086"/>
            <w:shd w:val="clear" w:color="auto" w:fill="F3F6FA"/>
          </w:tcPr>
          <w:p>
            <w:pPr>
              <w:spacing w:after="0" w:before="0" w:line="240" w:lineRule="auto"/>
            </w:pPr>
            <w:r>
              <w:rPr>
                <w:sz w:val="18"/>
              </w:rPr>
              <w:t>Additional variable: material (risk)</w:t>
            </w:r>
          </w:p>
        </w:tc>
        <w:tc>
          <w:tcPr>
            <w:tcW w:type="dxa" w:w="3337"/>
            <w:shd w:val="clear" w:color="auto" w:fill="F3F6FA"/>
          </w:tcPr>
          <w:p>
            <w:pPr>
              <w:spacing w:after="0" w:before="0" w:line="240" w:lineRule="auto"/>
            </w:pPr>
            <w:r>
              <w:rPr>
                <w:sz w:val="18"/>
              </w:rPr>
              <w:t>What share of Net PO value goes to single-sourced vs multi-sourced materials?</w:t>
            </w:r>
          </w:p>
        </w:tc>
        <w:tc>
          <w:tcPr>
            <w:tcW w:type="dxa" w:w="3337"/>
            <w:shd w:val="clear" w:color="auto" w:fill="F3F6FA"/>
          </w:tcPr>
          <w:p>
            <w:pPr>
              <w:spacing w:after="0" w:before="0" w:line="240" w:lineRule="auto"/>
            </w:pPr>
            <w:r>
              <w:rPr>
                <w:sz w:val="18"/>
              </w:rPr>
              <w:t>Where a second source is needed</w:t>
            </w:r>
          </w:p>
        </w:tc>
      </w:tr>
    </w:tbl>
    <w:p>
      <w:pPr>
        <w:spacing w:after="40"/>
      </w:pPr>
    </w:p>
    <w:p>
      <w:pPr>
        <w:pStyle w:val="Heading2"/>
      </w:pPr>
      <w:r>
        <w:t>1.3 Definitions</w:t>
      </w:r>
    </w:p>
    <w:p>
      <w:pPr>
        <w:pStyle w:val="ListBullet"/>
      </w:pPr>
      <w:r>
        <w:rPr>
          <w:b/>
        </w:rPr>
        <w:t>Net PO value</w:t>
      </w:r>
      <w:r>
        <w:t xml:space="preserve">: the value of ordered items (EKPO </w:t>
      </w:r>
      <w:r>
        <w:rPr>
          <w:rFonts w:ascii="Consolas" w:hAnsi="Consolas"/>
          <w:color w:val="1F3A5F"/>
          <w:sz w:val="19"/>
        </w:rPr>
        <w:t>Net Order Value</w:t>
      </w:r>
      <w:r>
        <w:t xml:space="preserve">) in order currency. It measures purchasing </w:t>
      </w:r>
      <w:r>
        <w:rPr>
          <w:i/>
        </w:rPr>
        <w:t>commitments</w:t>
      </w:r>
      <w:r>
        <w:t xml:space="preserve"> in the extracted snapshot. It is </w:t>
      </w:r>
      <w:r>
        <w:rPr>
          <w:b/>
        </w:rPr>
        <w:t>not</w:t>
      </w:r>
      <w:r>
        <w:t xml:space="preserve"> invoiced spend, paid spend or total cost of ownership. All charts are labelled "Net PO value".</w:t>
      </w:r>
    </w:p>
    <w:p>
      <w:pPr>
        <w:pStyle w:val="ListBullet"/>
      </w:pPr>
      <w:r>
        <w:rPr>
          <w:b/>
        </w:rPr>
        <w:t>PO count</w:t>
      </w:r>
      <w:r>
        <w:t xml:space="preserve">: distinct purchasing document numbers. </w:t>
      </w:r>
      <w:r>
        <w:rPr>
          <w:b/>
        </w:rPr>
        <w:t>PO item count</w:t>
      </w:r>
      <w:r>
        <w:t>: distinct document + item combinations. A PO with five items counts as 1 PO and 5 items.</w:t>
      </w:r>
    </w:p>
    <w:p>
      <w:pPr>
        <w:pStyle w:val="ListBullet"/>
      </w:pPr>
      <w:r>
        <w:rPr>
          <w:b/>
        </w:rPr>
        <w:t>Supplier share</w:t>
      </w:r>
      <w:r>
        <w:t>: a supplier's Net PO value divided by total Net PO value within the same scope and currency.</w:t>
      </w:r>
    </w:p>
    <w:p>
      <w:pPr>
        <w:pStyle w:val="ListBullet"/>
      </w:pPr>
      <w:r>
        <w:rPr>
          <w:b/>
        </w:rPr>
        <w:t>Geography</w:t>
      </w:r>
      <w:r>
        <w:t xml:space="preserve">: supplier </w:t>
      </w:r>
      <w:r>
        <w:rPr>
          <w:b/>
        </w:rPr>
        <w:t>country and region (state)</w:t>
      </w:r>
      <w:r>
        <w:t xml:space="preserve"> come from the supplier master address (LFA1). They describe where the supplier is registered, not where goods ship from. </w:t>
      </w:r>
      <w:r>
        <w:rPr>
          <w:b/>
        </w:rPr>
        <w:t>Receiving plant</w:t>
      </w:r>
      <w:r>
        <w:t xml:space="preserve"> (EKPO) describes where items are ordered </w:t>
      </w:r>
      <w:r>
        <w:rPr>
          <w:i/>
        </w:rPr>
        <w:t>for</w:t>
      </w:r>
      <w:r>
        <w:t>. Q2 uses the supplier address, and Q6 links the two.</w:t>
      </w:r>
    </w:p>
    <w:p>
      <w:pPr>
        <w:pStyle w:val="Heading2"/>
      </w:pPr>
      <w:r>
        <w:t>1.4 Scope filters</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3137"/>
        <w:gridCol w:w="3137"/>
        <w:gridCol w:w="3137"/>
      </w:tblGrid>
      <w:tr>
        <w:trPr>
          <w:cantSplit/>
          <w:tblHeader/>
        </w:trPr>
        <w:tc>
          <w:tcPr>
            <w:tcW w:type="dxa" w:w="1465"/>
            <w:shd w:val="clear" w:color="auto" w:fill="1F3A5F"/>
          </w:tcPr>
          <w:p>
            <w:pPr>
              <w:spacing w:after="0" w:before="0" w:line="240" w:lineRule="auto"/>
            </w:pPr>
            <w:r>
              <w:rPr>
                <w:b/>
                <w:color w:val="FFFFFF"/>
                <w:sz w:val="18"/>
              </w:rPr>
              <w:t>Filter</w:t>
            </w:r>
          </w:p>
        </w:tc>
        <w:tc>
          <w:tcPr>
            <w:tcW w:type="dxa" w:w="3140"/>
            <w:shd w:val="clear" w:color="auto" w:fill="1F3A5F"/>
          </w:tcPr>
          <w:p>
            <w:pPr>
              <w:spacing w:after="0" w:before="0" w:line="240" w:lineRule="auto"/>
            </w:pPr>
            <w:r>
              <w:rPr>
                <w:b/>
                <w:color w:val="FFFFFF"/>
                <w:sz w:val="18"/>
              </w:rPr>
              <w:t>Rule</w:t>
            </w:r>
          </w:p>
        </w:tc>
        <w:tc>
          <w:tcPr>
            <w:tcW w:type="dxa" w:w="4466"/>
            <w:shd w:val="clear" w:color="auto" w:fill="1F3A5F"/>
          </w:tcPr>
          <w:p>
            <w:pPr>
              <w:spacing w:after="0" w:before="0" w:line="240" w:lineRule="auto"/>
            </w:pPr>
            <w:r>
              <w:rPr>
                <w:b/>
                <w:color w:val="FFFFFF"/>
                <w:sz w:val="18"/>
              </w:rPr>
              <w:t>Reason</w:t>
            </w:r>
          </w:p>
        </w:tc>
      </w:tr>
      <w:tr>
        <w:trPr>
          <w:cantSplit/>
        </w:trPr>
        <w:tc>
          <w:tcPr>
            <w:tcW w:type="dxa" w:w="1465"/>
          </w:tcPr>
          <w:p>
            <w:pPr>
              <w:spacing w:after="0" w:before="0" w:line="240" w:lineRule="auto"/>
            </w:pPr>
            <w:r>
              <w:rPr>
                <w:sz w:val="18"/>
              </w:rPr>
              <w:t>Document category</w:t>
            </w:r>
          </w:p>
        </w:tc>
        <w:tc>
          <w:tcPr>
            <w:tcW w:type="dxa" w:w="3140"/>
          </w:tcPr>
          <w:p>
            <w:pPr>
              <w:spacing w:after="0" w:before="0" w:line="240" w:lineRule="auto"/>
            </w:pPr>
            <w:r>
              <w:rPr>
                <w:rFonts w:ascii="Consolas" w:hAnsi="Consolas"/>
                <w:color w:val="1F3A5F"/>
                <w:sz w:val="16"/>
              </w:rPr>
              <w:t>Purch. Doc. Category = F</w:t>
            </w:r>
          </w:p>
        </w:tc>
        <w:tc>
          <w:tcPr>
            <w:tcW w:type="dxa" w:w="4466"/>
          </w:tcPr>
          <w:p>
            <w:pPr>
              <w:spacing w:after="0" w:before="0" w:line="240" w:lineRule="auto"/>
            </w:pPr>
            <w:r>
              <w:rPr>
                <w:sz w:val="18"/>
              </w:rPr>
              <w:t>Only purchase orders carry ordered value. RFQs (A) and contracts (K) always have value 0.</w:t>
            </w:r>
          </w:p>
        </w:tc>
      </w:tr>
      <w:tr>
        <w:trPr>
          <w:cantSplit/>
        </w:trPr>
        <w:tc>
          <w:tcPr>
            <w:tcW w:type="dxa" w:w="1465"/>
            <w:shd w:val="clear" w:color="auto" w:fill="F3F6FA"/>
          </w:tcPr>
          <w:p>
            <w:pPr>
              <w:spacing w:after="0" w:before="0" w:line="240" w:lineRule="auto"/>
            </w:pPr>
            <w:r>
              <w:rPr>
                <w:sz w:val="18"/>
              </w:rPr>
              <w:t>Deleted items</w:t>
            </w:r>
          </w:p>
        </w:tc>
        <w:tc>
          <w:tcPr>
            <w:tcW w:type="dxa" w:w="3140"/>
            <w:shd w:val="clear" w:color="auto" w:fill="F3F6FA"/>
          </w:tcPr>
          <w:p>
            <w:pPr>
              <w:spacing w:after="0" w:before="0" w:line="240" w:lineRule="auto"/>
            </w:pPr>
            <w:r>
              <w:rPr>
                <w:rFonts w:ascii="Consolas" w:hAnsi="Consolas"/>
                <w:color w:val="1F3A5F"/>
                <w:sz w:val="16"/>
              </w:rPr>
              <w:t>Deletion Indicator</w:t>
            </w:r>
            <w:r>
              <w:rPr>
                <w:sz w:val="18"/>
              </w:rPr>
              <w:t xml:space="preserve"> empty</w:t>
            </w:r>
          </w:p>
        </w:tc>
        <w:tc>
          <w:tcPr>
            <w:tcW w:type="dxa" w:w="4466"/>
            <w:shd w:val="clear" w:color="auto" w:fill="F3F6FA"/>
          </w:tcPr>
          <w:p>
            <w:pPr>
              <w:spacing w:after="0" w:before="0" w:line="240" w:lineRule="auto"/>
            </w:pPr>
            <w:r>
              <w:rPr>
                <w:sz w:val="18"/>
              </w:rPr>
              <w:t xml:space="preserve">Items flagged </w:t>
            </w:r>
            <w:r>
              <w:rPr>
                <w:rFonts w:ascii="Consolas" w:hAnsi="Consolas"/>
                <w:color w:val="1F3A5F"/>
                <w:sz w:val="16"/>
              </w:rPr>
              <w:t>L</w:t>
            </w:r>
            <w:r>
              <w:rPr>
                <w:sz w:val="18"/>
              </w:rPr>
              <w:t xml:space="preserve"> are deleted.</w:t>
            </w:r>
          </w:p>
        </w:tc>
      </w:tr>
      <w:tr>
        <w:trPr>
          <w:cantSplit/>
        </w:trPr>
        <w:tc>
          <w:tcPr>
            <w:tcW w:type="dxa" w:w="1465"/>
          </w:tcPr>
          <w:p>
            <w:pPr>
              <w:spacing w:after="0" w:before="0" w:line="240" w:lineRule="auto"/>
            </w:pPr>
            <w:r>
              <w:rPr>
                <w:sz w:val="18"/>
              </w:rPr>
              <w:t>Organization</w:t>
            </w:r>
          </w:p>
        </w:tc>
        <w:tc>
          <w:tcPr>
            <w:tcW w:type="dxa" w:w="3140"/>
          </w:tcPr>
          <w:p>
            <w:pPr>
              <w:spacing w:after="0" w:before="0" w:line="240" w:lineRule="auto"/>
            </w:pPr>
            <w:r>
              <w:rPr>
                <w:rFonts w:ascii="Consolas" w:hAnsi="Consolas"/>
                <w:color w:val="1F3A5F"/>
                <w:sz w:val="16"/>
              </w:rPr>
              <w:t>Purch. Organization = US00</w:t>
            </w:r>
          </w:p>
        </w:tc>
        <w:tc>
          <w:tcPr>
            <w:tcW w:type="dxa" w:w="4466"/>
          </w:tcPr>
          <w:p>
            <w:pPr>
              <w:spacing w:after="0" w:before="0" w:line="240" w:lineRule="auto"/>
            </w:pPr>
            <w:r>
              <w:rPr>
                <w:sz w:val="18"/>
              </w:rPr>
              <w:t>US scope is defined by the purchasing organization, not by supplier location, so overseas suppliers of US procurement stay in scope.</w:t>
            </w:r>
          </w:p>
        </w:tc>
      </w:tr>
      <w:tr>
        <w:trPr>
          <w:cantSplit/>
        </w:trPr>
        <w:tc>
          <w:tcPr>
            <w:tcW w:type="dxa" w:w="1465"/>
            <w:shd w:val="clear" w:color="auto" w:fill="F3F6FA"/>
          </w:tcPr>
          <w:p>
            <w:pPr>
              <w:spacing w:after="0" w:before="0" w:line="240" w:lineRule="auto"/>
            </w:pPr>
            <w:r>
              <w:rPr>
                <w:sz w:val="18"/>
              </w:rPr>
              <w:t>Period</w:t>
            </w:r>
          </w:p>
        </w:tc>
        <w:tc>
          <w:tcPr>
            <w:tcW w:type="dxa" w:w="3140"/>
            <w:shd w:val="clear" w:color="auto" w:fill="F3F6FA"/>
          </w:tcPr>
          <w:p>
            <w:pPr>
              <w:spacing w:after="0" w:before="0" w:line="240" w:lineRule="auto"/>
            </w:pPr>
            <w:r>
              <w:rPr>
                <w:sz w:val="18"/>
              </w:rPr>
              <w:t>Document Date in [2025-10-01, 2026-10-01)</w:t>
            </w:r>
          </w:p>
        </w:tc>
        <w:tc>
          <w:tcPr>
            <w:tcW w:type="dxa" w:w="4466"/>
            <w:shd w:val="clear" w:color="auto" w:fill="F3F6FA"/>
          </w:tcPr>
          <w:p>
            <w:pPr>
              <w:spacing w:after="0" w:before="0" w:line="240" w:lineRule="auto"/>
            </w:pPr>
            <w:r>
              <w:rPr>
                <w:sz w:val="18"/>
              </w:rPr>
              <w:t>October 2026 is still incomplete (the analysis was run on 22 Oct 2026).</w:t>
            </w:r>
          </w:p>
        </w:tc>
      </w:tr>
      <w:tr>
        <w:trPr>
          <w:cantSplit/>
        </w:trPr>
        <w:tc>
          <w:tcPr>
            <w:tcW w:type="dxa" w:w="1465"/>
          </w:tcPr>
          <w:p>
            <w:pPr>
              <w:spacing w:after="0" w:before="0" w:line="240" w:lineRule="auto"/>
            </w:pPr>
            <w:r>
              <w:rPr>
                <w:sz w:val="18"/>
              </w:rPr>
              <w:t>Currency</w:t>
            </w:r>
          </w:p>
        </w:tc>
        <w:tc>
          <w:tcPr>
            <w:tcW w:type="dxa" w:w="3140"/>
          </w:tcPr>
          <w:p>
            <w:pPr>
              <w:spacing w:after="0" w:before="0" w:line="240" w:lineRule="auto"/>
            </w:pPr>
            <w:r>
              <w:rPr>
                <w:sz w:val="18"/>
              </w:rPr>
              <w:t>USD</w:t>
            </w:r>
          </w:p>
        </w:tc>
        <w:tc>
          <w:tcPr>
            <w:tcW w:type="dxa" w:w="4466"/>
          </w:tcPr>
          <w:p>
            <w:pPr>
              <w:spacing w:after="0" w:before="0" w:line="240" w:lineRule="auto"/>
            </w:pPr>
            <w:r>
              <w:rPr>
                <w:sz w:val="18"/>
              </w:rPr>
              <w:t>All in-scope items are USD. 6 items with a blank header currency belong to company code US00 (local currency USD) and have value 0.</w:t>
            </w:r>
          </w:p>
        </w:tc>
      </w:tr>
    </w:tbl>
    <w:p>
      <w:pPr>
        <w:spacing w:after="40"/>
      </w:pPr>
    </w:p>
    <w:p>
      <w:pPr>
        <w:pStyle w:val="Heading1"/>
        <w:pageBreakBefore/>
        <w:pBdr>
          <w:bottom w:val="single" w:sz="8" w:space="4" w:color="1F3A5F"/>
        </w:pBdr>
      </w:pPr>
      <w:r>
        <w:t>2. Data and method</w:t>
      </w:r>
    </w:p>
    <w:p>
      <w:pPr>
        <w:pStyle w:val="Heading2"/>
      </w:pPr>
      <w:r>
        <w:t>2.1 Tables</w:t>
      </w:r>
    </w:p>
    <w:p>
      <w:r>
        <w:t xml:space="preserve">All tables were extracted with transaction </w:t>
      </w:r>
      <w:r>
        <w:rPr>
          <w:b/>
        </w:rPr>
        <w:t>SE16N</w:t>
      </w:r>
      <w:r>
        <w:t xml:space="preserve"> and exported to Excel.</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1882"/>
        <w:gridCol w:w="1882"/>
        <w:gridCol w:w="1882"/>
        <w:gridCol w:w="1882"/>
        <w:gridCol w:w="1882"/>
      </w:tblGrid>
      <w:tr>
        <w:trPr>
          <w:cantSplit/>
          <w:tblHeader/>
        </w:trPr>
        <w:tc>
          <w:tcPr>
            <w:tcW w:type="dxa" w:w="467"/>
            <w:shd w:val="clear" w:color="auto" w:fill="1F3A5F"/>
          </w:tcPr>
          <w:p>
            <w:pPr>
              <w:spacing w:after="0" w:before="0" w:line="240" w:lineRule="auto"/>
            </w:pPr>
            <w:r>
              <w:rPr>
                <w:b/>
                <w:color w:val="FFFFFF"/>
                <w:sz w:val="18"/>
              </w:rPr>
              <w:t>Table</w:t>
            </w:r>
          </w:p>
        </w:tc>
        <w:tc>
          <w:tcPr>
            <w:tcW w:type="dxa" w:w="2022"/>
            <w:shd w:val="clear" w:color="auto" w:fill="1F3A5F"/>
          </w:tcPr>
          <w:p>
            <w:pPr>
              <w:spacing w:after="0" w:before="0" w:line="240" w:lineRule="auto"/>
            </w:pPr>
            <w:r>
              <w:rPr>
                <w:b/>
                <w:color w:val="FFFFFF"/>
                <w:sz w:val="18"/>
              </w:rPr>
              <w:t>Content</w:t>
            </w:r>
          </w:p>
        </w:tc>
        <w:tc>
          <w:tcPr>
            <w:tcW w:type="dxa" w:w="2022"/>
            <w:shd w:val="clear" w:color="auto" w:fill="1F3A5F"/>
          </w:tcPr>
          <w:p>
            <w:pPr>
              <w:spacing w:after="0" w:before="0" w:line="240" w:lineRule="auto"/>
            </w:pPr>
            <w:r>
              <w:rPr>
                <w:b/>
                <w:color w:val="FFFFFF"/>
                <w:sz w:val="18"/>
              </w:rPr>
              <w:t>Grain (one row = …)</w:t>
            </w:r>
          </w:p>
        </w:tc>
        <w:tc>
          <w:tcPr>
            <w:tcW w:type="dxa" w:w="1244"/>
            <w:shd w:val="clear" w:color="auto" w:fill="1F3A5F"/>
          </w:tcPr>
          <w:p>
            <w:pPr>
              <w:spacing w:after="0" w:before="0" w:line="240" w:lineRule="auto"/>
            </w:pPr>
            <w:r>
              <w:rPr>
                <w:b/>
                <w:color w:val="FFFFFF"/>
                <w:sz w:val="18"/>
              </w:rPr>
              <w:t>Rows × columns (raw)</w:t>
            </w:r>
          </w:p>
        </w:tc>
        <w:tc>
          <w:tcPr>
            <w:tcW w:type="dxa" w:w="3318"/>
            <w:shd w:val="clear" w:color="auto" w:fill="1F3A5F"/>
          </w:tcPr>
          <w:p>
            <w:pPr>
              <w:spacing w:after="0" w:before="0" w:line="240" w:lineRule="auto"/>
            </w:pPr>
            <w:r>
              <w:rPr>
                <w:b/>
                <w:color w:val="FFFFFF"/>
                <w:sz w:val="18"/>
              </w:rPr>
              <w:t>Used for</w:t>
            </w:r>
          </w:p>
        </w:tc>
      </w:tr>
      <w:tr>
        <w:trPr>
          <w:cantSplit/>
        </w:trPr>
        <w:tc>
          <w:tcPr>
            <w:tcW w:type="dxa" w:w="467"/>
          </w:tcPr>
          <w:p>
            <w:pPr>
              <w:spacing w:after="0" w:before="0" w:line="240" w:lineRule="auto"/>
            </w:pPr>
            <w:r>
              <w:rPr>
                <w:sz w:val="18"/>
              </w:rPr>
              <w:t>EKKO</w:t>
            </w:r>
          </w:p>
        </w:tc>
        <w:tc>
          <w:tcPr>
            <w:tcW w:type="dxa" w:w="2022"/>
          </w:tcPr>
          <w:p>
            <w:pPr>
              <w:spacing w:after="0" w:before="0" w:line="240" w:lineRule="auto"/>
            </w:pPr>
            <w:r>
              <w:rPr>
                <w:sz w:val="18"/>
              </w:rPr>
              <w:t>Purchasing document header</w:t>
            </w:r>
          </w:p>
        </w:tc>
        <w:tc>
          <w:tcPr>
            <w:tcW w:type="dxa" w:w="2022"/>
          </w:tcPr>
          <w:p>
            <w:pPr>
              <w:spacing w:after="0" w:before="0" w:line="240" w:lineRule="auto"/>
            </w:pPr>
            <w:r>
              <w:rPr>
                <w:sz w:val="18"/>
              </w:rPr>
              <w:t>purchasing document</w:t>
            </w:r>
          </w:p>
        </w:tc>
        <w:tc>
          <w:tcPr>
            <w:tcW w:type="dxa" w:w="1244"/>
          </w:tcPr>
          <w:p>
            <w:pPr>
              <w:spacing w:after="0" w:before="0" w:line="240" w:lineRule="auto"/>
            </w:pPr>
            <w:r>
              <w:rPr>
                <w:sz w:val="18"/>
              </w:rPr>
              <w:t>3,803 × 195</w:t>
            </w:r>
          </w:p>
        </w:tc>
        <w:tc>
          <w:tcPr>
            <w:tcW w:type="dxa" w:w="3318"/>
          </w:tcPr>
          <w:p>
            <w:pPr>
              <w:spacing w:after="0" w:before="0" w:line="240" w:lineRule="auto"/>
            </w:pPr>
            <w:r>
              <w:rPr>
                <w:sz w:val="18"/>
              </w:rPr>
              <w:t>category, supplier, purch. org, company code, document date, currency</w:t>
            </w:r>
          </w:p>
        </w:tc>
      </w:tr>
      <w:tr>
        <w:trPr>
          <w:cantSplit/>
        </w:trPr>
        <w:tc>
          <w:tcPr>
            <w:tcW w:type="dxa" w:w="467"/>
            <w:shd w:val="clear" w:color="auto" w:fill="F3F6FA"/>
          </w:tcPr>
          <w:p>
            <w:pPr>
              <w:spacing w:after="0" w:before="0" w:line="240" w:lineRule="auto"/>
            </w:pPr>
            <w:r>
              <w:rPr>
                <w:sz w:val="18"/>
              </w:rPr>
              <w:t>EKPO</w:t>
            </w:r>
          </w:p>
        </w:tc>
        <w:tc>
          <w:tcPr>
            <w:tcW w:type="dxa" w:w="2022"/>
            <w:shd w:val="clear" w:color="auto" w:fill="F3F6FA"/>
          </w:tcPr>
          <w:p>
            <w:pPr>
              <w:spacing w:after="0" w:before="0" w:line="240" w:lineRule="auto"/>
            </w:pPr>
            <w:r>
              <w:rPr>
                <w:sz w:val="18"/>
              </w:rPr>
              <w:t>Purchasing document item</w:t>
            </w:r>
          </w:p>
        </w:tc>
        <w:tc>
          <w:tcPr>
            <w:tcW w:type="dxa" w:w="2022"/>
            <w:shd w:val="clear" w:color="auto" w:fill="F3F6FA"/>
          </w:tcPr>
          <w:p>
            <w:pPr>
              <w:spacing w:after="0" w:before="0" w:line="240" w:lineRule="auto"/>
            </w:pPr>
            <w:r>
              <w:rPr>
                <w:sz w:val="18"/>
              </w:rPr>
              <w:t>document + item</w:t>
            </w:r>
          </w:p>
        </w:tc>
        <w:tc>
          <w:tcPr>
            <w:tcW w:type="dxa" w:w="1244"/>
            <w:shd w:val="clear" w:color="auto" w:fill="F3F6FA"/>
          </w:tcPr>
          <w:p>
            <w:pPr>
              <w:spacing w:after="0" w:before="0" w:line="240" w:lineRule="auto"/>
            </w:pPr>
            <w:r>
              <w:rPr>
                <w:sz w:val="18"/>
              </w:rPr>
              <w:t>3,974 × 418</w:t>
            </w:r>
          </w:p>
        </w:tc>
        <w:tc>
          <w:tcPr>
            <w:tcW w:type="dxa" w:w="3318"/>
            <w:shd w:val="clear" w:color="auto" w:fill="F3F6FA"/>
          </w:tcPr>
          <w:p>
            <w:pPr>
              <w:spacing w:after="0" w:before="0" w:line="240" w:lineRule="auto"/>
            </w:pPr>
            <w:r>
              <w:rPr>
                <w:sz w:val="18"/>
              </w:rPr>
              <w:t>Net Order Value, quantity, material, material group, plant</w:t>
            </w:r>
          </w:p>
        </w:tc>
      </w:tr>
      <w:tr>
        <w:trPr>
          <w:cantSplit/>
        </w:trPr>
        <w:tc>
          <w:tcPr>
            <w:tcW w:type="dxa" w:w="467"/>
          </w:tcPr>
          <w:p>
            <w:pPr>
              <w:spacing w:after="0" w:before="0" w:line="240" w:lineRule="auto"/>
            </w:pPr>
            <w:r>
              <w:rPr>
                <w:sz w:val="18"/>
              </w:rPr>
              <w:t>LFA1</w:t>
            </w:r>
          </w:p>
        </w:tc>
        <w:tc>
          <w:tcPr>
            <w:tcW w:type="dxa" w:w="2022"/>
          </w:tcPr>
          <w:p>
            <w:pPr>
              <w:spacing w:after="0" w:before="0" w:line="240" w:lineRule="auto"/>
            </w:pPr>
            <w:r>
              <w:rPr>
                <w:sz w:val="18"/>
              </w:rPr>
              <w:t>Supplier general data</w:t>
            </w:r>
          </w:p>
        </w:tc>
        <w:tc>
          <w:tcPr>
            <w:tcW w:type="dxa" w:w="2022"/>
          </w:tcPr>
          <w:p>
            <w:pPr>
              <w:spacing w:after="0" w:before="0" w:line="240" w:lineRule="auto"/>
            </w:pPr>
            <w:r>
              <w:rPr>
                <w:sz w:val="18"/>
              </w:rPr>
              <w:t>supplier</w:t>
            </w:r>
          </w:p>
        </w:tc>
        <w:tc>
          <w:tcPr>
            <w:tcW w:type="dxa" w:w="1244"/>
          </w:tcPr>
          <w:p>
            <w:pPr>
              <w:spacing w:after="0" w:before="0" w:line="240" w:lineRule="auto"/>
            </w:pPr>
            <w:r>
              <w:rPr>
                <w:sz w:val="18"/>
              </w:rPr>
              <w:t>25,055 × 197</w:t>
            </w:r>
          </w:p>
        </w:tc>
        <w:tc>
          <w:tcPr>
            <w:tcW w:type="dxa" w:w="3318"/>
          </w:tcPr>
          <w:p>
            <w:pPr>
              <w:spacing w:after="0" w:before="0" w:line="240" w:lineRule="auto"/>
            </w:pPr>
            <w:r>
              <w:rPr>
                <w:sz w:val="18"/>
              </w:rPr>
              <w:t>supplier name, country, region, city</w:t>
            </w:r>
          </w:p>
        </w:tc>
      </w:tr>
      <w:tr>
        <w:trPr>
          <w:cantSplit/>
        </w:trPr>
        <w:tc>
          <w:tcPr>
            <w:tcW w:type="dxa" w:w="467"/>
            <w:shd w:val="clear" w:color="auto" w:fill="F3F6FA"/>
          </w:tcPr>
          <w:p>
            <w:pPr>
              <w:spacing w:after="0" w:before="0" w:line="240" w:lineRule="auto"/>
            </w:pPr>
            <w:r>
              <w:rPr>
                <w:sz w:val="18"/>
              </w:rPr>
              <w:t>EKBE</w:t>
            </w:r>
          </w:p>
        </w:tc>
        <w:tc>
          <w:tcPr>
            <w:tcW w:type="dxa" w:w="2022"/>
            <w:shd w:val="clear" w:color="auto" w:fill="F3F6FA"/>
          </w:tcPr>
          <w:p>
            <w:pPr>
              <w:spacing w:after="0" w:before="0" w:line="240" w:lineRule="auto"/>
            </w:pPr>
            <w:r>
              <w:rPr>
                <w:sz w:val="18"/>
              </w:rPr>
              <w:t>PO history (goods/invoice receipts)</w:t>
            </w:r>
          </w:p>
        </w:tc>
        <w:tc>
          <w:tcPr>
            <w:tcW w:type="dxa" w:w="2022"/>
            <w:shd w:val="clear" w:color="auto" w:fill="F3F6FA"/>
          </w:tcPr>
          <w:p>
            <w:pPr>
              <w:spacing w:after="0" w:before="0" w:line="240" w:lineRule="auto"/>
            </w:pPr>
            <w:r>
              <w:rPr>
                <w:sz w:val="18"/>
              </w:rPr>
              <w:t>item × material/accounting document</w:t>
            </w:r>
          </w:p>
        </w:tc>
        <w:tc>
          <w:tcPr>
            <w:tcW w:type="dxa" w:w="1244"/>
            <w:shd w:val="clear" w:color="auto" w:fill="F3F6FA"/>
          </w:tcPr>
          <w:p>
            <w:pPr>
              <w:spacing w:after="0" w:before="0" w:line="240" w:lineRule="auto"/>
            </w:pPr>
            <w:r>
              <w:rPr>
                <w:sz w:val="18"/>
              </w:rPr>
              <w:t>2,824 × 93</w:t>
            </w:r>
          </w:p>
        </w:tc>
        <w:tc>
          <w:tcPr>
            <w:tcW w:type="dxa" w:w="3318"/>
            <w:shd w:val="clear" w:color="auto" w:fill="F3F6FA"/>
          </w:tcPr>
          <w:p>
            <w:pPr>
              <w:spacing w:after="0" w:before="0" w:line="240" w:lineRule="auto"/>
            </w:pPr>
            <w:r>
              <w:rPr>
                <w:sz w:val="18"/>
              </w:rPr>
              <w:t>data-quality check only (not used for Q1–Q8)</w:t>
            </w:r>
          </w:p>
        </w:tc>
      </w:tr>
    </w:tbl>
    <w:p>
      <w:pPr>
        <w:spacing w:after="40"/>
      </w:pPr>
    </w:p>
    <w:p>
      <w:r>
        <w:t>Most raw columns are empty or constant. A check in each EDA notebook shows that only 37 EKKO, 56 EKPO and 26 LFA1 columns hold more than one distinct value. We load only the 8–16 columns we need.</w:t>
      </w:r>
    </w:p>
    <w:p>
      <w:pPr>
        <w:pStyle w:val="Heading2"/>
      </w:pPr>
      <w:r>
        <w:t>2.2 Workflow</w:t>
      </w:r>
    </w:p>
    <w:p>
      <w:pPr>
        <w:keepNext/>
        <w:spacing w:after="40"/>
        <w:jc w:val="center"/>
      </w:pPr>
      <w:r>
        <w:drawing>
          <wp:inline xmlns:a="http://schemas.openxmlformats.org/drawingml/2006/main" xmlns:pic="http://schemas.openxmlformats.org/drawingml/2006/picture">
            <wp:extent cx="5760720" cy="784605"/>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784605"/>
                    </a:xfrm>
                    <a:prstGeom prst="rect"/>
                  </pic:spPr>
                </pic:pic>
              </a:graphicData>
            </a:graphic>
          </wp:inline>
        </w:drawing>
      </w:r>
    </w:p>
    <w:p>
      <w:pPr>
        <w:spacing w:after="200"/>
        <w:jc w:val="center"/>
      </w:pPr>
      <w:r>
        <w:rPr>
          <w:i/>
          <w:color w:val="52514E"/>
          <w:sz w:val="17"/>
        </w:rPr>
        <w:t>Figure 1. Analysis workflow from SAP extraction to the report</w:t>
      </w:r>
    </w:p>
    <w:p>
      <w:pPr>
        <w:pStyle w:val="ListNumber"/>
        <w:numPr>
          <w:ilvl w:val="0"/>
          <w:numId w:val="10"/>
        </w:numPr>
      </w:pPr>
      <w:r>
        <w:rPr>
          <w:b/>
        </w:rPr>
        <w:t>Extract</w:t>
      </w:r>
      <w:r>
        <w:t xml:space="preserve">: the four SE16N exports are stored unchanged in </w:t>
      </w:r>
      <w:r>
        <w:rPr>
          <w:rFonts w:ascii="Consolas" w:hAnsi="Consolas"/>
          <w:color w:val="1F3A5F"/>
          <w:sz w:val="19"/>
        </w:rPr>
        <w:t>resources/</w:t>
      </w:r>
      <w:r>
        <w:t>.</w:t>
      </w:r>
    </w:p>
    <w:p>
      <w:pPr>
        <w:pStyle w:val="ListNumber"/>
        <w:numPr>
          <w:ilvl w:val="0"/>
          <w:numId w:val="10"/>
        </w:numPr>
      </w:pPr>
      <w:r>
        <w:rPr>
          <w:b/>
        </w:rPr>
        <w:t>Load &amp; cache</w:t>
      </w:r>
      <w:r>
        <w:t xml:space="preserve"> (</w:t>
      </w:r>
      <w:r>
        <w:rPr>
          <w:rFonts w:ascii="Consolas" w:hAnsi="Consolas"/>
          <w:color w:val="1F3A5F"/>
          <w:sz w:val="19"/>
        </w:rPr>
        <w:t>src/sap_data.py</w:t>
      </w:r>
      <w:r>
        <w:t xml:space="preserve">): each Excel file is read once with only the needed columns and cached as Parquet. SE16N exported some headers twice. In EKKO the first </w:t>
      </w:r>
      <w:r>
        <w:rPr>
          <w:rFonts w:ascii="Consolas" w:hAnsi="Consolas"/>
          <w:color w:val="1F3A5F"/>
          <w:sz w:val="19"/>
        </w:rPr>
        <w:t>Purch. Organization</w:t>
      </w:r>
      <w:r>
        <w:t xml:space="preserve"> column is empty and the values sit in the duplicate column </w:t>
      </w:r>
      <w:r>
        <w:rPr>
          <w:rFonts w:ascii="Consolas" w:hAnsi="Consolas"/>
          <w:color w:val="1F3A5F"/>
          <w:sz w:val="19"/>
        </w:rPr>
        <w:t>Purch. Organization.1</w:t>
      </w:r>
      <w:r>
        <w:t>, which we rename. Supplier keys are cast to text on both sides so the joins match.</w:t>
      </w:r>
    </w:p>
    <w:p>
      <w:pPr>
        <w:pStyle w:val="ListNumber"/>
        <w:numPr>
          <w:ilvl w:val="0"/>
          <w:numId w:val="10"/>
        </w:numPr>
      </w:pPr>
      <w:r>
        <w:rPr>
          <w:b/>
        </w:rPr>
        <w:t>Exploratory data analysis</w:t>
      </w:r>
      <w:r>
        <w:t xml:space="preserve"> (</w:t>
      </w:r>
      <w:r>
        <w:rPr>
          <w:rFonts w:ascii="Consolas" w:hAnsi="Consolas"/>
          <w:color w:val="1F3A5F"/>
          <w:sz w:val="19"/>
        </w:rPr>
        <w:t>src/eda/</w:t>
      </w:r>
      <w:r>
        <w:t>): one notebook per table checks grain, missing values, categories, value distribution, dates and data quality (Section 2.4).</w:t>
      </w:r>
    </w:p>
    <w:p>
      <w:pPr>
        <w:pStyle w:val="ListNumber"/>
        <w:numPr>
          <w:ilvl w:val="0"/>
          <w:numId w:val="10"/>
        </w:numPr>
      </w:pPr>
      <w:r>
        <w:rPr>
          <w:b/>
        </w:rPr>
        <w:t>Scope</w:t>
      </w:r>
      <w:r>
        <w:t xml:space="preserve"> (</w:t>
      </w:r>
      <w:r>
        <w:rPr>
          <w:rFonts w:ascii="Consolas" w:hAnsi="Consolas"/>
          <w:color w:val="1F3A5F"/>
          <w:sz w:val="19"/>
        </w:rPr>
        <w:t>src/eda/scope_eda.ipynb</w:t>
      </w:r>
      <w:r>
        <w:t>): join and filter, then save one in-scope table that every question uses, so all results share the same population.</w:t>
      </w:r>
    </w:p>
    <w:p>
      <w:pPr>
        <w:pStyle w:val="ListNumber"/>
        <w:numPr>
          <w:ilvl w:val="0"/>
          <w:numId w:val="10"/>
        </w:numPr>
      </w:pPr>
      <w:r>
        <w:rPr>
          <w:b/>
        </w:rPr>
        <w:t>Analysis</w:t>
      </w:r>
      <w:r>
        <w:t xml:space="preserve"> (</w:t>
      </w:r>
      <w:r>
        <w:rPr>
          <w:rFonts w:ascii="Consolas" w:hAnsi="Consolas"/>
          <w:color w:val="1F3A5F"/>
          <w:sz w:val="19"/>
        </w:rPr>
        <w:t>src/analysis/q1 … q8</w:t>
      </w:r>
      <w:r>
        <w:t>): one notebook per question, each giving a chart, a descriptive statistic, a finding and a limitation.</w:t>
      </w:r>
    </w:p>
    <w:p>
      <w:pPr>
        <w:pStyle w:val="Heading2"/>
      </w:pPr>
      <w:r>
        <w:t>2.3 Key Python code</w:t>
      </w:r>
    </w:p>
    <w:p>
      <w:r>
        <w:t xml:space="preserve">Join with integrity checks. </w:t>
      </w:r>
      <w:r>
        <w:rPr>
          <w:rFonts w:ascii="Consolas" w:hAnsi="Consolas"/>
          <w:color w:val="1F3A5F"/>
          <w:sz w:val="19"/>
        </w:rPr>
        <w:t>validate="many_to_one"</w:t>
      </w:r>
      <w:r>
        <w:t xml:space="preserve"> makes pandas raise an error if a key isn't unique on the right side, so no item can be silently duplicated and no value double-counted:</w:t>
      </w:r>
    </w:p>
    <w:p>
      <w:pPr>
        <w:keepNext/>
        <w:pBdr>
          <w:left w:val="single" w:sz="12" w:space="6" w:color="2A78D6"/>
        </w:pBdr>
        <w:shd w:val="clear" w:color="auto" w:fill="F4F4F2"/>
        <w:spacing w:after="0" w:before="0" w:line="240" w:lineRule="auto"/>
        <w:ind w:left="170"/>
      </w:pPr>
      <w:r>
        <w:rPr>
          <w:rFonts w:ascii="Consolas" w:hAnsi="Consolas"/>
          <w:color w:val="2B2B2B"/>
          <w:sz w:val="17"/>
        </w:rPr>
        <w:t>df = (ekpo.drop(columns=["Purch. Doc. Category", "Company Code"])</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.merge(ekko, on="Purchasing Document", how="left", validate="many_to_one")</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.merge(lfa1, on="Supplier", how="left", validate="many_to_one"))</w:t>
      </w:r>
    </w:p>
    <w:p>
      <w:pPr>
        <w:keepNext w:val="0"/>
        <w:pBdr>
          <w:left w:val="single" w:sz="12" w:space="6" w:color="2A78D6"/>
        </w:pBdr>
        <w:shd w:val="clear" w:color="auto" w:fill="F4F4F2"/>
        <w:spacing w:after="0" w:before="0" w:line="240" w:lineRule="auto"/>
        <w:ind w:left="170"/>
      </w:pPr>
      <w:r>
        <w:rPr>
          <w:rFonts w:ascii="Consolas" w:hAnsi="Consolas"/>
          <w:color w:val="2B2B2B"/>
          <w:sz w:val="17"/>
        </w:rPr>
        <w:t>assert len(df) == len(ekpo)</w:t>
      </w:r>
    </w:p>
    <w:p>
      <w:pPr>
        <w:spacing w:after="0"/>
      </w:pPr>
    </w:p>
    <w:p>
      <w:r>
        <w:t>Scope filters:</w:t>
      </w:r>
    </w:p>
    <w:p>
      <w:pPr>
        <w:keepNext/>
        <w:pBdr>
          <w:left w:val="single" w:sz="12" w:space="6" w:color="2A78D6"/>
        </w:pBdr>
        <w:shd w:val="clear" w:color="auto" w:fill="F4F4F2"/>
        <w:spacing w:after="0" w:before="0" w:line="240" w:lineRule="auto"/>
        <w:ind w:left="170"/>
      </w:pPr>
      <w:r>
        <w:rPr>
          <w:rFonts w:ascii="Consolas" w:hAnsi="Consolas"/>
          <w:color w:val="2B2B2B"/>
          <w:sz w:val="17"/>
        </w:rPr>
        <w:t>po = df[(df["Purch. Doc. Category"] == "F")</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&amp; df["Deletion Indicator"].isna()</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&amp; (df["Purch. Organization"] == "US00")]</w:t>
      </w:r>
    </w:p>
    <w:p>
      <w:pPr>
        <w:keepNext w:val="0"/>
        <w:pBdr>
          <w:left w:val="single" w:sz="12" w:space="6" w:color="2A78D6"/>
        </w:pBdr>
        <w:shd w:val="clear" w:color="auto" w:fill="F4F4F2"/>
        <w:spacing w:after="0" w:before="0" w:line="240" w:lineRule="auto"/>
        <w:ind w:left="170"/>
      </w:pPr>
      <w:r>
        <w:rPr>
          <w:rFonts w:ascii="Consolas" w:hAnsi="Consolas"/>
          <w:color w:val="2B2B2B"/>
          <w:sz w:val="17"/>
        </w:rPr>
        <w:t>w = po[(po["Document Date"] &gt;= "2025-10-01") &amp; (po["Document Date"] &lt; "2026-10-01")]</w:t>
      </w:r>
    </w:p>
    <w:p>
      <w:pPr>
        <w:spacing w:after="0"/>
      </w:pP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2353"/>
        <w:gridCol w:w="2353"/>
        <w:gridCol w:w="2353"/>
        <w:gridCol w:w="2353"/>
      </w:tblGrid>
      <w:tr>
        <w:trPr>
          <w:cantSplit/>
          <w:tblHeader/>
        </w:trPr>
        <w:tc>
          <w:tcPr>
            <w:tcW w:type="dxa" w:w="3871"/>
            <w:shd w:val="clear" w:color="auto" w:fill="1F3A5F"/>
          </w:tcPr>
          <w:p>
            <w:pPr>
              <w:spacing w:after="0" w:before="0" w:line="240" w:lineRule="auto"/>
            </w:pPr>
            <w:r>
              <w:rPr>
                <w:b/>
                <w:color w:val="FFFFFF"/>
                <w:sz w:val="18"/>
              </w:rPr>
              <w:t>Step</w:t>
            </w:r>
          </w:p>
        </w:tc>
        <w:tc>
          <w:tcPr>
            <w:tcW w:type="dxa" w:w="1452"/>
            <w:shd w:val="clear" w:color="auto" w:fill="1F3A5F"/>
          </w:tcPr>
          <w:p>
            <w:pPr>
              <w:spacing w:after="0" w:before="0" w:line="240" w:lineRule="auto"/>
              <w:jc w:val="right"/>
            </w:pPr>
            <w:r>
              <w:rPr>
                <w:b/>
                <w:color w:val="FFFFFF"/>
                <w:sz w:val="18"/>
              </w:rPr>
              <w:t>PO items</w:t>
            </w:r>
          </w:p>
        </w:tc>
        <w:tc>
          <w:tcPr>
            <w:tcW w:type="dxa" w:w="1089"/>
            <w:shd w:val="clear" w:color="auto" w:fill="1F3A5F"/>
          </w:tcPr>
          <w:p>
            <w:pPr>
              <w:spacing w:after="0" w:before="0" w:line="240" w:lineRule="auto"/>
              <w:jc w:val="right"/>
            </w:pPr>
            <w:r>
              <w:rPr>
                <w:b/>
                <w:color w:val="FFFFFF"/>
                <w:sz w:val="18"/>
              </w:rPr>
              <w:t>POs</w:t>
            </w:r>
          </w:p>
        </w:tc>
        <w:tc>
          <w:tcPr>
            <w:tcW w:type="dxa" w:w="2661"/>
            <w:shd w:val="clear" w:color="auto" w:fill="1F3A5F"/>
          </w:tcPr>
          <w:p>
            <w:pPr>
              <w:spacing w:after="0" w:before="0" w:line="240" w:lineRule="auto"/>
              <w:jc w:val="right"/>
            </w:pPr>
            <w:r>
              <w:rPr>
                <w:b/>
                <w:color w:val="FFFFFF"/>
                <w:sz w:val="18"/>
              </w:rPr>
              <w:t>Net PO value (USD)</w:t>
            </w:r>
          </w:p>
        </w:tc>
      </w:tr>
      <w:tr>
        <w:trPr>
          <w:cantSplit/>
        </w:trPr>
        <w:tc>
          <w:tcPr>
            <w:tcW w:type="dxa" w:w="3871"/>
          </w:tcPr>
          <w:p>
            <w:pPr>
              <w:spacing w:after="0" w:before="0" w:line="240" w:lineRule="auto"/>
            </w:pPr>
            <w:r>
              <w:rPr>
                <w:sz w:val="18"/>
              </w:rPr>
              <w:t>All EKPO items</w:t>
            </w:r>
          </w:p>
        </w:tc>
        <w:tc>
          <w:tcPr>
            <w:tcW w:type="dxa" w:w="1452"/>
          </w:tcPr>
          <w:p>
            <w:pPr>
              <w:spacing w:after="0" w:before="0" w:line="240" w:lineRule="auto"/>
              <w:jc w:val="right"/>
            </w:pPr>
            <w:r>
              <w:rPr>
                <w:sz w:val="18"/>
              </w:rPr>
              <w:t>3,974</w:t>
            </w:r>
          </w:p>
        </w:tc>
        <w:tc>
          <w:tcPr>
            <w:tcW w:type="dxa" w:w="1089"/>
          </w:tcPr>
          <w:p>
            <w:pPr>
              <w:spacing w:after="0" w:before="0" w:line="240" w:lineRule="auto"/>
              <w:jc w:val="right"/>
            </w:pPr>
            <w:r>
              <w:rPr>
                <w:sz w:val="18"/>
              </w:rPr>
              <w:t>3,540</w:t>
            </w:r>
          </w:p>
        </w:tc>
        <w:tc>
          <w:tcPr>
            <w:tcW w:type="dxa" w:w="2661"/>
          </w:tcPr>
          <w:p>
            <w:pPr>
              <w:spacing w:after="0" w:before="0" w:line="240" w:lineRule="auto"/>
              <w:jc w:val="right"/>
            </w:pPr>
            <w:r>
              <w:rPr>
                <w:sz w:val="18"/>
              </w:rPr>
              <w:t>13,752,558</w:t>
            </w:r>
          </w:p>
        </w:tc>
      </w:tr>
      <w:tr>
        <w:trPr>
          <w:cantSplit/>
        </w:trPr>
        <w:tc>
          <w:tcPr>
            <w:tcW w:type="dxa" w:w="3871"/>
            <w:shd w:val="clear" w:color="auto" w:fill="F3F6FA"/>
          </w:tcPr>
          <w:p>
            <w:pPr>
              <w:spacing w:after="0" w:before="0" w:line="240" w:lineRule="auto"/>
            </w:pPr>
            <w:r>
              <w:rPr>
                <w:sz w:val="18"/>
              </w:rPr>
              <w:t>Category F (purchase orders)</w:t>
            </w:r>
          </w:p>
        </w:tc>
        <w:tc>
          <w:tcPr>
            <w:tcW w:type="dxa" w:w="1452"/>
            <w:shd w:val="clear" w:color="auto" w:fill="F3F6FA"/>
          </w:tcPr>
          <w:p>
            <w:pPr>
              <w:spacing w:after="0" w:before="0" w:line="240" w:lineRule="auto"/>
              <w:jc w:val="right"/>
            </w:pPr>
            <w:r>
              <w:rPr>
                <w:sz w:val="18"/>
              </w:rPr>
              <w:t>2,072</w:t>
            </w:r>
          </w:p>
        </w:tc>
        <w:tc>
          <w:tcPr>
            <w:tcW w:type="dxa" w:w="1089"/>
            <w:shd w:val="clear" w:color="auto" w:fill="F3F6FA"/>
          </w:tcPr>
          <w:p>
            <w:pPr>
              <w:spacing w:after="0" w:before="0" w:line="240" w:lineRule="auto"/>
              <w:jc w:val="right"/>
            </w:pPr>
            <w:r>
              <w:rPr>
                <w:sz w:val="18"/>
              </w:rPr>
              <w:t>1,812</w:t>
            </w:r>
          </w:p>
        </w:tc>
        <w:tc>
          <w:tcPr>
            <w:tcW w:type="dxa" w:w="2661"/>
            <w:shd w:val="clear" w:color="auto" w:fill="F3F6FA"/>
          </w:tcPr>
          <w:p>
            <w:pPr>
              <w:spacing w:after="0" w:before="0" w:line="240" w:lineRule="auto"/>
              <w:jc w:val="right"/>
            </w:pPr>
            <w:r>
              <w:rPr>
                <w:sz w:val="18"/>
              </w:rPr>
              <w:t>13,752,558</w:t>
            </w:r>
          </w:p>
        </w:tc>
      </w:tr>
      <w:tr>
        <w:trPr>
          <w:cantSplit/>
        </w:trPr>
        <w:tc>
          <w:tcPr>
            <w:tcW w:type="dxa" w:w="3871"/>
          </w:tcPr>
          <w:p>
            <w:pPr>
              <w:spacing w:after="0" w:before="0" w:line="240" w:lineRule="auto"/>
            </w:pPr>
            <w:r>
              <w:rPr>
                <w:sz w:val="18"/>
              </w:rPr>
              <w:t>Not deleted</w:t>
            </w:r>
          </w:p>
        </w:tc>
        <w:tc>
          <w:tcPr>
            <w:tcW w:type="dxa" w:w="1452"/>
          </w:tcPr>
          <w:p>
            <w:pPr>
              <w:spacing w:after="0" w:before="0" w:line="240" w:lineRule="auto"/>
              <w:jc w:val="right"/>
            </w:pPr>
            <w:r>
              <w:rPr>
                <w:sz w:val="18"/>
              </w:rPr>
              <w:t>2,067</w:t>
            </w:r>
          </w:p>
        </w:tc>
        <w:tc>
          <w:tcPr>
            <w:tcW w:type="dxa" w:w="1089"/>
          </w:tcPr>
          <w:p>
            <w:pPr>
              <w:spacing w:after="0" w:before="0" w:line="240" w:lineRule="auto"/>
              <w:jc w:val="right"/>
            </w:pPr>
            <w:r>
              <w:rPr>
                <w:sz w:val="18"/>
              </w:rPr>
              <w:t>1,810</w:t>
            </w:r>
          </w:p>
        </w:tc>
        <w:tc>
          <w:tcPr>
            <w:tcW w:type="dxa" w:w="2661"/>
          </w:tcPr>
          <w:p>
            <w:pPr>
              <w:spacing w:after="0" w:before="0" w:line="240" w:lineRule="auto"/>
              <w:jc w:val="right"/>
            </w:pPr>
            <w:r>
              <w:rPr>
                <w:sz w:val="18"/>
              </w:rPr>
              <w:t>13,744,268</w:t>
            </w:r>
          </w:p>
        </w:tc>
      </w:tr>
      <w:tr>
        <w:trPr>
          <w:cantSplit/>
        </w:trPr>
        <w:tc>
          <w:tcPr>
            <w:tcW w:type="dxa" w:w="3871"/>
            <w:shd w:val="clear" w:color="auto" w:fill="F3F6FA"/>
          </w:tcPr>
          <w:p>
            <w:pPr>
              <w:spacing w:after="0" w:before="0" w:line="240" w:lineRule="auto"/>
            </w:pPr>
            <w:r>
              <w:rPr>
                <w:sz w:val="18"/>
              </w:rPr>
              <w:t>Purchasing org US00</w:t>
            </w:r>
          </w:p>
        </w:tc>
        <w:tc>
          <w:tcPr>
            <w:tcW w:type="dxa" w:w="1452"/>
            <w:shd w:val="clear" w:color="auto" w:fill="F3F6FA"/>
          </w:tcPr>
          <w:p>
            <w:pPr>
              <w:spacing w:after="0" w:before="0" w:line="240" w:lineRule="auto"/>
              <w:jc w:val="right"/>
            </w:pPr>
            <w:r>
              <w:rPr>
                <w:sz w:val="18"/>
              </w:rPr>
              <w:t>2,028</w:t>
            </w:r>
          </w:p>
        </w:tc>
        <w:tc>
          <w:tcPr>
            <w:tcW w:type="dxa" w:w="1089"/>
            <w:shd w:val="clear" w:color="auto" w:fill="F3F6FA"/>
          </w:tcPr>
          <w:p>
            <w:pPr>
              <w:spacing w:after="0" w:before="0" w:line="240" w:lineRule="auto"/>
              <w:jc w:val="right"/>
            </w:pPr>
            <w:r>
              <w:rPr>
                <w:sz w:val="18"/>
              </w:rPr>
              <w:t>1,772</w:t>
            </w:r>
          </w:p>
        </w:tc>
        <w:tc>
          <w:tcPr>
            <w:tcW w:type="dxa" w:w="2661"/>
            <w:shd w:val="clear" w:color="auto" w:fill="F3F6FA"/>
          </w:tcPr>
          <w:p>
            <w:pPr>
              <w:spacing w:after="0" w:before="0" w:line="240" w:lineRule="auto"/>
              <w:jc w:val="right"/>
            </w:pPr>
            <w:r>
              <w:rPr>
                <w:sz w:val="18"/>
              </w:rPr>
              <w:t>13,735,856</w:t>
            </w:r>
          </w:p>
        </w:tc>
      </w:tr>
      <w:tr>
        <w:trPr>
          <w:cantSplit/>
        </w:trPr>
        <w:tc>
          <w:tcPr>
            <w:tcW w:type="dxa" w:w="3871"/>
          </w:tcPr>
          <w:p>
            <w:pPr>
              <w:spacing w:after="0" w:before="0" w:line="240" w:lineRule="auto"/>
            </w:pPr>
            <w:r>
              <w:rPr>
                <w:b/>
                <w:sz w:val="18"/>
              </w:rPr>
              <w:t>In reporting window</w:t>
            </w:r>
          </w:p>
        </w:tc>
        <w:tc>
          <w:tcPr>
            <w:tcW w:type="dxa" w:w="1452"/>
          </w:tcPr>
          <w:p>
            <w:pPr>
              <w:spacing w:after="0" w:before="0" w:line="240" w:lineRule="auto"/>
              <w:jc w:val="right"/>
            </w:pPr>
            <w:r>
              <w:rPr>
                <w:b/>
                <w:sz w:val="18"/>
              </w:rPr>
              <w:t>884</w:t>
            </w:r>
          </w:p>
        </w:tc>
        <w:tc>
          <w:tcPr>
            <w:tcW w:type="dxa" w:w="1089"/>
          </w:tcPr>
          <w:p>
            <w:pPr>
              <w:spacing w:after="0" w:before="0" w:line="240" w:lineRule="auto"/>
              <w:jc w:val="right"/>
            </w:pPr>
            <w:r>
              <w:rPr>
                <w:b/>
                <w:sz w:val="18"/>
              </w:rPr>
              <w:t>758</w:t>
            </w:r>
          </w:p>
        </w:tc>
        <w:tc>
          <w:tcPr>
            <w:tcW w:type="dxa" w:w="2661"/>
          </w:tcPr>
          <w:p>
            <w:pPr>
              <w:spacing w:after="0" w:before="0" w:line="240" w:lineRule="auto"/>
              <w:jc w:val="right"/>
            </w:pPr>
            <w:r>
              <w:rPr>
                <w:b/>
                <w:sz w:val="18"/>
              </w:rPr>
              <w:t>3,056,071</w:t>
            </w:r>
          </w:p>
        </w:tc>
      </w:tr>
    </w:tbl>
    <w:p>
      <w:pPr>
        <w:spacing w:after="40"/>
      </w:pPr>
    </w:p>
    <w:p>
      <w:r>
        <w:t>Main measures (pandas):</w:t>
      </w:r>
    </w:p>
    <w:p>
      <w:pPr>
        <w:keepNext/>
        <w:pBdr>
          <w:left w:val="single" w:sz="12" w:space="6" w:color="2A78D6"/>
        </w:pBdr>
        <w:shd w:val="clear" w:color="auto" w:fill="F4F4F2"/>
        <w:spacing w:after="0" w:before="0" w:line="240" w:lineRule="auto"/>
        <w:ind w:left="170"/>
      </w:pPr>
      <w:r>
        <w:rPr>
          <w:rFonts w:ascii="Consolas" w:hAnsi="Consolas"/>
          <w:color w:val="2B2B2B"/>
          <w:sz w:val="17"/>
        </w:rPr>
        <w:t># Q1: supplier shares, Pareto, ABC, HHI</w:t>
      </w:r>
    </w:p>
    <w:p>
      <w:pPr>
        <w:keepNext/>
        <w:pBdr>
          <w:left w:val="single" w:sz="12" w:space="6" w:color="2A78D6"/>
        </w:pBdr>
        <w:shd w:val="clear" w:color="auto" w:fill="F4F4F2"/>
        <w:spacing w:after="0" w:before="0" w:line="240" w:lineRule="auto"/>
        <w:ind w:left="170"/>
      </w:pPr>
      <w:r>
        <w:rPr>
          <w:rFonts w:ascii="Consolas" w:hAnsi="Consolas"/>
          <w:color w:val="2B2B2B"/>
          <w:sz w:val="17"/>
        </w:rPr>
        <w:t>sup = w.groupby("Supplier")["Net Order Value"].sum().sort_values(ascending=False)</w:t>
      </w:r>
    </w:p>
    <w:p>
      <w:pPr>
        <w:keepNext/>
        <w:pBdr>
          <w:left w:val="single" w:sz="12" w:space="6" w:color="2A78D6"/>
        </w:pBdr>
        <w:shd w:val="clear" w:color="auto" w:fill="F4F4F2"/>
        <w:spacing w:after="0" w:before="0" w:line="240" w:lineRule="auto"/>
        <w:ind w:left="170"/>
      </w:pPr>
      <w:r>
        <w:rPr>
          <w:rFonts w:ascii="Consolas" w:hAnsi="Consolas"/>
          <w:color w:val="2B2B2B"/>
          <w:sz w:val="17"/>
        </w:rPr>
        <w:t>share = sup / sup.sum();  cum = share.cumsum();  hhi = (share ** 2).sum()</w:t>
      </w:r>
    </w:p>
    <w:p>
      <w:pPr>
        <w:keepNext/>
        <w:pBdr>
          <w:left w:val="single" w:sz="12" w:space="6" w:color="2A78D6"/>
        </w:pBdr>
        <w:shd w:val="clear" w:color="auto" w:fill="F4F4F2"/>
        <w:spacing w:after="0" w:before="0" w:line="240" w:lineRule="auto"/>
        <w:ind w:left="170"/>
      </w:pPr>
      <w:r>
        <w:rPr>
          <w:rFonts w:ascii="Consolas" w:hAnsi="Consolas"/>
          <w:color w:val="2B2B2B"/>
          <w:sz w:val="17"/>
        </w:rPr>
        <w:t>abc = pd.cut(cum, [0, .8, .95, 1.0001], labels=list("ABC"))</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w:t>
      </w:r>
    </w:p>
    <w:p>
      <w:pPr>
        <w:keepNext/>
        <w:pBdr>
          <w:left w:val="single" w:sz="12" w:space="6" w:color="2A78D6"/>
        </w:pBdr>
        <w:shd w:val="clear" w:color="auto" w:fill="F4F4F2"/>
        <w:spacing w:after="0" w:before="0" w:line="240" w:lineRule="auto"/>
        <w:ind w:left="170"/>
      </w:pPr>
      <w:r>
        <w:rPr>
          <w:rFonts w:ascii="Consolas" w:hAnsi="Consolas"/>
          <w:color w:val="2B2B2B"/>
          <w:sz w:val="17"/>
        </w:rPr>
        <w:t># Q3: monthly series, empty months kept as 0</w:t>
      </w:r>
    </w:p>
    <w:p>
      <w:pPr>
        <w:keepNext/>
        <w:pBdr>
          <w:left w:val="single" w:sz="12" w:space="6" w:color="2A78D6"/>
        </w:pBdr>
        <w:shd w:val="clear" w:color="auto" w:fill="F4F4F2"/>
        <w:spacing w:after="0" w:before="0" w:line="240" w:lineRule="auto"/>
        <w:ind w:left="170"/>
      </w:pPr>
      <w:r>
        <w:rPr>
          <w:rFonts w:ascii="Consolas" w:hAnsi="Consolas"/>
          <w:color w:val="2B2B2B"/>
          <w:sz w:val="17"/>
        </w:rPr>
        <w:t>mon = (w.groupby("month").agg(net=("Net Order Value", "sum"),</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po_count=("Purchasing Document", "nunique"))</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.reindex(pd.period_range("2025-10", "2026-09", freq="M"), fill_value=0))</w:t>
      </w:r>
    </w:p>
    <w:p>
      <w:pPr>
        <w:keepNext/>
        <w:pBdr>
          <w:left w:val="single" w:sz="12" w:space="6" w:color="2A78D6"/>
        </w:pBdr>
        <w:shd w:val="clear" w:color="auto" w:fill="F4F4F2"/>
        <w:spacing w:after="0" w:before="0" w:line="240" w:lineRule="auto"/>
        <w:ind w:left="170"/>
      </w:pPr>
      <w:r>
        <w:rPr>
          <w:rFonts w:ascii="Consolas" w:hAnsi="Consolas"/>
          <w:color w:val="2B2B2B"/>
          <w:sz w:val="17"/>
        </w:rPr>
        <w:t>cv = mon.net.std() / mon.net.mean()</w:t>
      </w:r>
    </w:p>
    <w:p>
      <w:pPr>
        <w:keepNext/>
        <w:pBdr>
          <w:left w:val="single" w:sz="12" w:space="6" w:color="2A78D6"/>
        </w:pBdr>
        <w:shd w:val="clear" w:color="auto" w:fill="F4F4F2"/>
        <w:spacing w:after="0" w:before="0" w:line="240" w:lineRule="auto"/>
        <w:ind w:left="170"/>
      </w:pPr>
      <w:r>
        <w:rPr>
          <w:rFonts w:ascii="Consolas" w:hAnsi="Consolas"/>
          <w:color w:val="2B2B2B"/>
          <w:sz w:val="17"/>
        </w:rPr>
        <w:t xml:space="preserve"> </w:t>
      </w:r>
    </w:p>
    <w:p>
      <w:pPr>
        <w:keepNext/>
        <w:pBdr>
          <w:left w:val="single" w:sz="12" w:space="6" w:color="2A78D6"/>
        </w:pBdr>
        <w:shd w:val="clear" w:color="auto" w:fill="F4F4F2"/>
        <w:spacing w:after="0" w:before="0" w:line="240" w:lineRule="auto"/>
        <w:ind w:left="170"/>
      </w:pPr>
      <w:r>
        <w:rPr>
          <w:rFonts w:ascii="Consolas" w:hAnsi="Consolas"/>
          <w:color w:val="2B2B2B"/>
          <w:sz w:val="17"/>
        </w:rPr>
        <w:t># Q7: quantity-weighted unit price, fixed-base and chain index</w:t>
      </w:r>
    </w:p>
    <w:p>
      <w:pPr>
        <w:keepNext/>
        <w:pBdr>
          <w:left w:val="single" w:sz="12" w:space="6" w:color="2A78D6"/>
        </w:pBdr>
        <w:shd w:val="clear" w:color="auto" w:fill="F4F4F2"/>
        <w:spacing w:after="0" w:before="0" w:line="240" w:lineRule="auto"/>
        <w:ind w:left="170"/>
      </w:pPr>
      <w:r>
        <w:rPr>
          <w:rFonts w:ascii="Consolas" w:hAnsi="Consolas"/>
          <w:color w:val="2B2B2B"/>
          <w:sz w:val="17"/>
        </w:rPr>
        <w:t>price = net.groupby(["family", "month"]).sum() / qty.groupby(["family", "month"]).sum()</w:t>
      </w:r>
    </w:p>
    <w:p>
      <w:pPr>
        <w:keepNext/>
        <w:pBdr>
          <w:left w:val="single" w:sz="12" w:space="6" w:color="2A78D6"/>
        </w:pBdr>
        <w:shd w:val="clear" w:color="auto" w:fill="F4F4F2"/>
        <w:spacing w:after="0" w:before="0" w:line="240" w:lineRule="auto"/>
        <w:ind w:left="170"/>
      </w:pPr>
      <w:r>
        <w:rPr>
          <w:rFonts w:ascii="Consolas" w:hAnsi="Consolas"/>
          <w:color w:val="2B2B2B"/>
          <w:sz w:val="17"/>
        </w:rPr>
        <w:t>fixed_base = price / price_first_month * 100</w:t>
      </w:r>
    </w:p>
    <w:p>
      <w:pPr>
        <w:keepNext w:val="0"/>
        <w:pBdr>
          <w:left w:val="single" w:sz="12" w:space="6" w:color="2A78D6"/>
        </w:pBdr>
        <w:shd w:val="clear" w:color="auto" w:fill="F4F4F2"/>
        <w:spacing w:after="0" w:before="0" w:line="240" w:lineRule="auto"/>
        <w:ind w:left="170"/>
      </w:pPr>
      <w:r>
        <w:rPr>
          <w:rFonts w:ascii="Consolas" w:hAnsi="Consolas"/>
          <w:color w:val="2B2B2B"/>
          <w:sz w:val="17"/>
        </w:rPr>
        <w:t>chain = price / price_previous_month_with_purchases * 100</w:t>
      </w:r>
    </w:p>
    <w:p>
      <w:pPr>
        <w:spacing w:after="0"/>
      </w:pPr>
    </w:p>
    <w:p>
      <w:r>
        <w:rPr>
          <w:b/>
        </w:rPr>
        <w:t>Derived variable: product family.</w:t>
      </w:r>
      <w:r>
        <w:t xml:space="preserve"> SAP material numbers were created separately by each training user (e.g. 183 different numbers for "chain lock"), and SAP material groups are coarse (UTIL, RAW, BIKES). We therefore classify each item into a product family from its short text (e.g. contains "chain" or "lokk" → chain lock), falling back on the GBI material prefix (CH, BOTL, BOLT, SH, TK, CA). We then group families into categories: </w:t>
      </w:r>
      <w:r>
        <w:rPr>
          <w:b/>
        </w:rPr>
        <w:t>Accessories</w:t>
      </w:r>
      <w:r>
        <w:t xml:space="preserve"> (chain lock, water bottle, bottle cage, t-shirt), </w:t>
      </w:r>
      <w:r>
        <w:rPr>
          <w:b/>
        </w:rPr>
        <w:t>Components</w:t>
      </w:r>
      <w:r>
        <w:t xml:space="preserve"> (socket head bolt, off-road handle bar), </w:t>
      </w:r>
      <w:r>
        <w:rPr>
          <w:b/>
        </w:rPr>
        <w:t>Finished bikes</w:t>
      </w:r>
      <w:r>
        <w:t xml:space="preserve"> (touring bikes) and </w:t>
      </w:r>
      <w:r>
        <w:rPr>
          <w:b/>
        </w:rPr>
        <w:t>Non-bike exercise item</w:t>
      </w:r>
      <w:r>
        <w:t xml:space="preserve"> (spelt flour). This mapping is our own derived variable, and it is used in Q4, Q7 and Q8.</w:t>
      </w:r>
    </w:p>
    <w:p>
      <w:pPr>
        <w:pStyle w:val="Heading2"/>
      </w:pPr>
      <w:r>
        <w:t>2.4 Data-quality findings from the EDA</w:t>
      </w:r>
    </w:p>
    <w:p>
      <w:pPr>
        <w:pStyle w:val="ListBullet"/>
      </w:pPr>
      <w:r>
        <w:rPr>
          <w:b/>
        </w:rPr>
        <w:t>Mixed document types.</w:t>
      </w:r>
      <w:r>
        <w:t xml:space="preserve"> Only 1,850 of 3,803 EKKO documents are POs. The rest are RFQs (1,676), contracts (63) and other requests (214). Summing all of them would mix commitments with quotations.</w:t>
      </w:r>
    </w:p>
    <w:p>
      <w:pPr>
        <w:pStyle w:val="ListBullet"/>
      </w:pPr>
      <w:r>
        <w:rPr>
          <w:b/>
        </w:rPr>
        <w:t>Training client.</w:t>
      </w:r>
      <w:r>
        <w:t xml:space="preserve"> Users are </w:t>
      </w:r>
      <w:r>
        <w:rPr>
          <w:rFonts w:ascii="Consolas" w:hAnsi="Consolas"/>
          <w:color w:val="1F3A5F"/>
          <w:sz w:val="19"/>
        </w:rPr>
        <w:t>GBIALL…</w:t>
      </w:r>
      <w:r>
        <w:t xml:space="preserve">, </w:t>
      </w:r>
      <w:r>
        <w:rPr>
          <w:rFonts w:ascii="Consolas" w:hAnsi="Consolas"/>
          <w:color w:val="1F3A5F"/>
          <w:sz w:val="19"/>
        </w:rPr>
        <w:t>LEARN-…</w:t>
      </w:r>
      <w:r>
        <w:t xml:space="preserve"> and individual students. 24,000 of 25,055 suppliers are copies of 24 GBI template suppliers. Many supplier names are exercise placeholders (</w:t>
      </w:r>
      <w:r>
        <w:rPr>
          <w:rFonts w:ascii="Consolas" w:hAnsi="Consolas"/>
          <w:color w:val="1F3A5F"/>
          <w:sz w:val="19"/>
        </w:rPr>
        <w:t>Vendor</w:t>
      </w:r>
      <w:r>
        <w:t xml:space="preserve">, </w:t>
      </w:r>
      <w:r>
        <w:rPr>
          <w:rFonts w:ascii="Consolas" w:hAnsi="Consolas"/>
          <w:color w:val="1F3A5F"/>
          <w:sz w:val="19"/>
        </w:rPr>
        <w:t>szállító…</w:t>
      </w:r>
      <w:r>
        <w:t xml:space="preserve">, </w:t>
      </w:r>
      <w:r>
        <w:rPr>
          <w:rFonts w:ascii="Consolas" w:hAnsi="Consolas"/>
          <w:color w:val="1F3A5F"/>
          <w:sz w:val="19"/>
        </w:rPr>
        <w:t>Bike supplier 000</w:t>
      </w:r>
      <w:r>
        <w:t>), and one exercise item is spelt flour ("Tönkölybúza liszt").</w:t>
      </w:r>
    </w:p>
    <w:p>
      <w:pPr>
        <w:pStyle w:val="ListBullet"/>
      </w:pPr>
      <w:r>
        <w:rPr>
          <w:b/>
        </w:rPr>
        <w:t>Extreme outlier.</w:t>
      </w:r>
      <w:r>
        <w:t xml:space="preserve"> One PO item (Mid-West Supply, 200,100 chain locks × $32 = </w:t>
      </w:r>
      <w:r>
        <w:rPr>
          <w:b/>
        </w:rPr>
        <w:t>$6.4M</w:t>
      </w:r>
      <w:r>
        <w:t xml:space="preserve">, Oct 2026) equals </w:t>
      </w:r>
      <w:r>
        <w:rPr>
          <w:b/>
        </w:rPr>
        <w:t>47%</w:t>
      </w:r>
      <w:r>
        <w:t xml:space="preserve"> of all US00 PO value in the extract. It falls outside the window. A report on "all data" would be dominated by this single line.</w:t>
      </w:r>
    </w:p>
    <w:p>
      <w:pPr>
        <w:pStyle w:val="ListBullet"/>
      </w:pPr>
      <w:r>
        <w:rPr>
          <w:b/>
        </w:rPr>
        <w:t>Skewed values.</w:t>
      </w:r>
      <w:r>
        <w:t xml:space="preserve"> In scope, the median item value is </w:t>
      </w:r>
      <w:r>
        <w:rPr>
          <w:b/>
        </w:rPr>
        <w:t>$2,450</w:t>
      </w:r>
      <w:r>
        <w:t>, the mean $3,457 and the maximum $150,000. 27 items have value 0, and 54 PO items in the extract have price unit 0. We therefore report medians and use log scales where needed.</w:t>
      </w:r>
    </w:p>
    <w:p>
      <w:pPr>
        <w:pStyle w:val="ListBullet"/>
      </w:pPr>
      <w:r>
        <w:rPr>
          <w:b/>
        </w:rPr>
        <w:t>Incomplete master data.</w:t>
      </w:r>
      <w:r>
        <w:t xml:space="preserve"> 31% of in-scope US suppliers (44% of items, 45% of value) have no state. City is free text (</w:t>
      </w:r>
      <w:r>
        <w:rPr>
          <w:rFonts w:ascii="Consolas" w:hAnsi="Consolas"/>
          <w:color w:val="1F3A5F"/>
          <w:sz w:val="19"/>
        </w:rPr>
        <w:t>Dallas</w:t>
      </w:r>
      <w:r>
        <w:t xml:space="preserve"> / </w:t>
      </w:r>
      <w:r>
        <w:rPr>
          <w:rFonts w:ascii="Consolas" w:hAnsi="Consolas"/>
          <w:color w:val="1F3A5F"/>
          <w:sz w:val="19"/>
        </w:rPr>
        <w:t>dallas</w:t>
      </w:r>
      <w:r>
        <w:t xml:space="preserve"> / </w:t>
      </w:r>
      <w:r>
        <w:rPr>
          <w:rFonts w:ascii="Consolas" w:hAnsi="Consolas"/>
          <w:color w:val="1F3A5F"/>
          <w:sz w:val="19"/>
        </w:rPr>
        <w:t>Dalas</w:t>
      </w:r>
      <w:r>
        <w:t xml:space="preserve"> / </w:t>
      </w:r>
      <w:r>
        <w:rPr>
          <w:rFonts w:ascii="Consolas" w:hAnsi="Consolas"/>
          <w:color w:val="1F3A5F"/>
          <w:sz w:val="19"/>
        </w:rPr>
        <w:t>Texas</w:t>
      </w:r>
      <w:r>
        <w:t>). Some suppliers flagged as US have Budapest addresses.</w:t>
      </w:r>
    </w:p>
    <w:p>
      <w:pPr>
        <w:pStyle w:val="ListBullet"/>
      </w:pPr>
      <w:r>
        <w:rPr>
          <w:b/>
        </w:rPr>
        <w:t>Small scope gaps.</w:t>
      </w:r>
      <w:r>
        <w:t xml:space="preserve"> 11 in-scope items have no supplier on the header and are kept as "(unknown supplier)" so shares add up to 100%. Counting POs that have a blank purch. org but company code US00 would add only 8 items worth $52.50, so the scope rule doesn't change any result.</w:t>
      </w:r>
    </w:p>
    <w:p>
      <w:pPr>
        <w:pStyle w:val="ListBullet"/>
      </w:pPr>
      <w:r>
        <w:rPr>
          <w:b/>
        </w:rPr>
        <w:t>EKBE can't measure delivery performance.</w:t>
      </w:r>
      <w:r>
        <w:t xml:space="preserve"> The median time from PO to goods receipt is 0 days (GRs are posted right after the PO in exercises), and no planned delivery date (EKET) was extracted. Only 71% of PO items have a goods receipt and 57% an invoice, so "invoiced spend" would differ materially from Net PO value.</w:t>
      </w:r>
    </w:p>
    <w:p>
      <w:pPr>
        <w:pStyle w:val="Heading1"/>
        <w:pageBreakBefore/>
        <w:pBdr>
          <w:bottom w:val="single" w:sz="8" w:space="4" w:color="1F3A5F"/>
        </w:pBdr>
      </w:pPr>
      <w:r>
        <w:t>3. Results</w:t>
      </w:r>
    </w:p>
    <w:p>
      <w:r>
        <w:rPr>
          <w:b/>
        </w:rPr>
        <w:t>Scope in numbers:</w:t>
      </w:r>
      <w:r>
        <w:t xml:space="preserve"> 884 PO items · 758 POs · 291 suppliers (incl. "unknown") · </w:t>
      </w:r>
      <w:r>
        <w:rPr>
          <w:b/>
        </w:rPr>
        <w:t>$3,056,071 Net PO value</w:t>
      </w:r>
      <w:r>
        <w:t>.</w:t>
      </w:r>
    </w:p>
    <w:p>
      <w:pPr>
        <w:pStyle w:val="Heading2"/>
      </w:pPr>
      <w:r>
        <w:t>3.1 Supplier</w:t>
      </w:r>
    </w:p>
    <w:p>
      <w:pPr>
        <w:pStyle w:val="Heading3"/>
      </w:pPr>
      <w:r>
        <w:t>Q1. Supplier concentration</w:t>
      </w:r>
    </w:p>
    <w:p>
      <w:pPr>
        <w:keepNext/>
        <w:spacing w:after="40"/>
        <w:jc w:val="center"/>
      </w:pPr>
      <w:r>
        <w:drawing>
          <wp:inline xmlns:a="http://schemas.openxmlformats.org/drawingml/2006/main" xmlns:pic="http://schemas.openxmlformats.org/drawingml/2006/picture">
            <wp:extent cx="5760720" cy="2512654"/>
            <wp:docPr id="2" name="Picture 2"/>
            <wp:cNvGraphicFramePr>
              <a:graphicFrameLocks noChangeAspect="1"/>
            </wp:cNvGraphicFramePr>
            <a:graphic>
              <a:graphicData uri="http://schemas.openxmlformats.org/drawingml/2006/picture">
                <pic:pic>
                  <pic:nvPicPr>
                    <pic:cNvPr id="0" name="q1_top10_suppliers.png"/>
                    <pic:cNvPicPr/>
                  </pic:nvPicPr>
                  <pic:blipFill>
                    <a:blip r:embed="rId12"/>
                    <a:stretch>
                      <a:fillRect/>
                    </a:stretch>
                  </pic:blipFill>
                  <pic:spPr>
                    <a:xfrm>
                      <a:off x="0" y="0"/>
                      <a:ext cx="5760720" cy="2512654"/>
                    </a:xfrm>
                    <a:prstGeom prst="rect"/>
                  </pic:spPr>
                </pic:pic>
              </a:graphicData>
            </a:graphic>
          </wp:inline>
        </w:drawing>
      </w:r>
    </w:p>
    <w:p>
      <w:pPr>
        <w:spacing w:after="200"/>
        <w:jc w:val="center"/>
      </w:pPr>
      <w:r>
        <w:rPr>
          <w:i/>
          <w:color w:val="52514E"/>
          <w:sz w:val="17"/>
        </w:rPr>
        <w:t>Figure 2. Top 10 suppliers</w:t>
      </w:r>
    </w:p>
    <w:p>
      <w:pPr>
        <w:keepNext/>
        <w:spacing w:after="40"/>
        <w:jc w:val="center"/>
      </w:pPr>
      <w:r>
        <w:drawing>
          <wp:inline xmlns:a="http://schemas.openxmlformats.org/drawingml/2006/main" xmlns:pic="http://schemas.openxmlformats.org/drawingml/2006/picture">
            <wp:extent cx="5760720" cy="3399574"/>
            <wp:docPr id="3" name="Picture 3"/>
            <wp:cNvGraphicFramePr>
              <a:graphicFrameLocks noChangeAspect="1"/>
            </wp:cNvGraphicFramePr>
            <a:graphic>
              <a:graphicData uri="http://schemas.openxmlformats.org/drawingml/2006/picture">
                <pic:pic>
                  <pic:nvPicPr>
                    <pic:cNvPr id="0" name="q1_pareto.png"/>
                    <pic:cNvPicPr/>
                  </pic:nvPicPr>
                  <pic:blipFill>
                    <a:blip r:embed="rId13"/>
                    <a:stretch>
                      <a:fillRect/>
                    </a:stretch>
                  </pic:blipFill>
                  <pic:spPr>
                    <a:xfrm>
                      <a:off x="0" y="0"/>
                      <a:ext cx="5760720" cy="3399574"/>
                    </a:xfrm>
                    <a:prstGeom prst="rect"/>
                  </pic:spPr>
                </pic:pic>
              </a:graphicData>
            </a:graphic>
          </wp:inline>
        </w:drawing>
      </w:r>
    </w:p>
    <w:p>
      <w:pPr>
        <w:spacing w:after="200"/>
        <w:jc w:val="center"/>
      </w:pPr>
      <w:r>
        <w:rPr>
          <w:i/>
          <w:color w:val="52514E"/>
          <w:sz w:val="17"/>
        </w:rPr>
        <w:t>Figure 3. Pareto curve</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4706"/>
        <w:gridCol w:w="4706"/>
      </w:tblGrid>
      <w:tr>
        <w:trPr>
          <w:cantSplit/>
          <w:tblHeader/>
        </w:trPr>
        <w:tc>
          <w:tcPr>
            <w:tcW w:type="dxa" w:w="3503"/>
            <w:shd w:val="clear" w:color="auto" w:fill="1F3A5F"/>
          </w:tcPr>
          <w:p>
            <w:pPr>
              <w:spacing w:after="0" w:before="0" w:line="240" w:lineRule="auto"/>
            </w:pPr>
            <w:r>
              <w:rPr>
                <w:b/>
                <w:color w:val="FFFFFF"/>
                <w:sz w:val="18"/>
              </w:rPr>
              <w:t>Statistic</w:t>
            </w:r>
          </w:p>
        </w:tc>
        <w:tc>
          <w:tcPr>
            <w:tcW w:type="dxa" w:w="5569"/>
            <w:shd w:val="clear" w:color="auto" w:fill="1F3A5F"/>
          </w:tcPr>
          <w:p>
            <w:pPr>
              <w:spacing w:after="0" w:before="0" w:line="240" w:lineRule="auto"/>
            </w:pPr>
            <w:r>
              <w:rPr>
                <w:b/>
                <w:color w:val="FFFFFF"/>
                <w:sz w:val="18"/>
              </w:rPr>
              <w:t>Value</w:t>
            </w:r>
          </w:p>
        </w:tc>
      </w:tr>
      <w:tr>
        <w:trPr>
          <w:cantSplit/>
        </w:trPr>
        <w:tc>
          <w:tcPr>
            <w:tcW w:type="dxa" w:w="3503"/>
          </w:tcPr>
          <w:p>
            <w:pPr>
              <w:spacing w:after="0" w:before="0" w:line="240" w:lineRule="auto"/>
            </w:pPr>
            <w:r>
              <w:rPr>
                <w:sz w:val="18"/>
              </w:rPr>
              <w:t>Top 10 suppliers' share</w:t>
            </w:r>
          </w:p>
        </w:tc>
        <w:tc>
          <w:tcPr>
            <w:tcW w:type="dxa" w:w="5569"/>
          </w:tcPr>
          <w:p>
            <w:pPr>
              <w:spacing w:after="0" w:before="0" w:line="240" w:lineRule="auto"/>
            </w:pPr>
            <w:r>
              <w:rPr>
                <w:b/>
                <w:sz w:val="18"/>
              </w:rPr>
              <w:t>36.2%</w:t>
            </w:r>
          </w:p>
        </w:tc>
      </w:tr>
      <w:tr>
        <w:trPr>
          <w:cantSplit/>
        </w:trPr>
        <w:tc>
          <w:tcPr>
            <w:tcW w:type="dxa" w:w="3503"/>
            <w:shd w:val="clear" w:color="auto" w:fill="F3F6FA"/>
          </w:tcPr>
          <w:p>
            <w:pPr>
              <w:spacing w:after="0" w:before="0" w:line="240" w:lineRule="auto"/>
            </w:pPr>
            <w:r>
              <w:rPr>
                <w:sz w:val="18"/>
              </w:rPr>
              <w:t>Top 20% (58 of 291 suppliers) share</w:t>
            </w:r>
          </w:p>
        </w:tc>
        <w:tc>
          <w:tcPr>
            <w:tcW w:type="dxa" w:w="5569"/>
            <w:shd w:val="clear" w:color="auto" w:fill="F3F6FA"/>
          </w:tcPr>
          <w:p>
            <w:pPr>
              <w:spacing w:after="0" w:before="0" w:line="240" w:lineRule="auto"/>
            </w:pPr>
            <w:r>
              <w:rPr>
                <w:b/>
                <w:sz w:val="18"/>
              </w:rPr>
              <w:t>69.5%</w:t>
            </w:r>
          </w:p>
        </w:tc>
      </w:tr>
      <w:tr>
        <w:trPr>
          <w:cantSplit/>
        </w:trPr>
        <w:tc>
          <w:tcPr>
            <w:tcW w:type="dxa" w:w="3503"/>
          </w:tcPr>
          <w:p>
            <w:pPr>
              <w:spacing w:after="0" w:before="0" w:line="240" w:lineRule="auto"/>
            </w:pPr>
            <w:r>
              <w:rPr>
                <w:sz w:val="18"/>
              </w:rPr>
              <w:t>Largest single supplier</w:t>
            </w:r>
          </w:p>
        </w:tc>
        <w:tc>
          <w:tcPr>
            <w:tcW w:type="dxa" w:w="5569"/>
          </w:tcPr>
          <w:p>
            <w:pPr>
              <w:spacing w:after="0" w:before="0" w:line="240" w:lineRule="auto"/>
            </w:pPr>
            <w:r>
              <w:rPr>
                <w:sz w:val="18"/>
              </w:rPr>
              <w:t>10.1% (Szallito Angela)</w:t>
            </w:r>
          </w:p>
        </w:tc>
      </w:tr>
      <w:tr>
        <w:trPr>
          <w:cantSplit/>
        </w:trPr>
        <w:tc>
          <w:tcPr>
            <w:tcW w:type="dxa" w:w="3503"/>
            <w:shd w:val="clear" w:color="auto" w:fill="F3F6FA"/>
          </w:tcPr>
          <w:p>
            <w:pPr>
              <w:spacing w:after="0" w:before="0" w:line="240" w:lineRule="auto"/>
            </w:pPr>
            <w:r>
              <w:rPr>
                <w:sz w:val="18"/>
              </w:rPr>
              <w:t>HHI</w:t>
            </w:r>
          </w:p>
        </w:tc>
        <w:tc>
          <w:tcPr>
            <w:tcW w:type="dxa" w:w="5569"/>
            <w:shd w:val="clear" w:color="auto" w:fill="F3F6FA"/>
          </w:tcPr>
          <w:p>
            <w:pPr>
              <w:spacing w:after="0" w:before="0" w:line="240" w:lineRule="auto"/>
            </w:pPr>
            <w:r>
              <w:rPr>
                <w:sz w:val="18"/>
              </w:rPr>
              <w:t>0.022 (≈ 45 equal-sized suppliers)</w:t>
            </w:r>
          </w:p>
        </w:tc>
      </w:tr>
      <w:tr>
        <w:trPr>
          <w:cantSplit/>
        </w:trPr>
        <w:tc>
          <w:tcPr>
            <w:tcW w:type="dxa" w:w="3503"/>
          </w:tcPr>
          <w:p>
            <w:pPr>
              <w:spacing w:after="0" w:before="0" w:line="240" w:lineRule="auto"/>
            </w:pPr>
            <w:r>
              <w:rPr>
                <w:sz w:val="18"/>
              </w:rPr>
              <w:t>ABC classes</w:t>
            </w:r>
          </w:p>
        </w:tc>
        <w:tc>
          <w:tcPr>
            <w:tcW w:type="dxa" w:w="5569"/>
          </w:tcPr>
          <w:p>
            <w:pPr>
              <w:spacing w:after="0" w:before="0" w:line="240" w:lineRule="auto"/>
            </w:pPr>
            <w:r>
              <w:rPr>
                <w:sz w:val="18"/>
              </w:rPr>
              <w:t>A: 87 suppliers = 80% of value · B: 70 = 15% · C: 134 = 5%</w:t>
            </w:r>
          </w:p>
        </w:tc>
      </w:tr>
    </w:tbl>
    <w:p>
      <w:pPr>
        <w:spacing w:after="40"/>
      </w:pPr>
    </w:p>
    <w:p>
      <w:r>
        <w:rPr>
          <w:b/>
        </w:rPr>
        <w:t>Finding.</w:t>
      </w:r>
      <w:r>
        <w:t xml:space="preserve"> Spend is concentrated, but less than the classic 80/20 rule, and no single supplier dominates. 30% of suppliers make up 80% of value, and 46% of suppliers (C class) together bring only 5%.</w:t>
      </w:r>
    </w:p>
    <w:p>
      <w:r>
        <w:rPr>
          <w:b/>
        </w:rPr>
        <w:t>Decision.</w:t>
      </w:r>
      <w:r>
        <w:t xml:space="preserve"> The A-class suppliers are the right candidates for volume discounts and long-term strategic contracts, as the procurement strategy intends. The long C-class tail is a candidate for reducing the supplier base. Moderate concentration means Global Bike isn't dependent on any single supplier overall.</w:t>
      </w:r>
    </w:p>
    <w:p>
      <w:pPr>
        <w:pStyle w:val="Heading3"/>
      </w:pPr>
      <w:r>
        <w:t>Q5. Order pattern and consolidation candidates</w:t>
      </w:r>
    </w:p>
    <w:p>
      <w:pPr>
        <w:keepNext/>
        <w:spacing w:after="40"/>
        <w:jc w:val="center"/>
      </w:pPr>
      <w:r>
        <w:drawing>
          <wp:inline xmlns:a="http://schemas.openxmlformats.org/drawingml/2006/main" xmlns:pic="http://schemas.openxmlformats.org/drawingml/2006/picture">
            <wp:extent cx="5760720" cy="3698375"/>
            <wp:docPr id="4" name="Picture 4"/>
            <wp:cNvGraphicFramePr>
              <a:graphicFrameLocks noChangeAspect="1"/>
            </wp:cNvGraphicFramePr>
            <a:graphic>
              <a:graphicData uri="http://schemas.openxmlformats.org/drawingml/2006/picture">
                <pic:pic>
                  <pic:nvPicPr>
                    <pic:cNvPr id="0" name="q5_frequency_vs_value.png"/>
                    <pic:cNvPicPr/>
                  </pic:nvPicPr>
                  <pic:blipFill>
                    <a:blip r:embed="rId14"/>
                    <a:stretch>
                      <a:fillRect/>
                    </a:stretch>
                  </pic:blipFill>
                  <pic:spPr>
                    <a:xfrm>
                      <a:off x="0" y="0"/>
                      <a:ext cx="5760720" cy="3698375"/>
                    </a:xfrm>
                    <a:prstGeom prst="rect"/>
                  </pic:spPr>
                </pic:pic>
              </a:graphicData>
            </a:graphic>
          </wp:inline>
        </w:drawing>
      </w:r>
    </w:p>
    <w:p>
      <w:pPr>
        <w:spacing w:after="200"/>
        <w:jc w:val="center"/>
      </w:pPr>
      <w:r>
        <w:rPr>
          <w:i/>
          <w:color w:val="52514E"/>
          <w:sz w:val="17"/>
        </w:rPr>
        <w:t>Figure 4. PO frequency vs average PO value</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4706"/>
        <w:gridCol w:w="4706"/>
      </w:tblGrid>
      <w:tr>
        <w:trPr>
          <w:cantSplit/>
          <w:tblHeader/>
        </w:trPr>
        <w:tc>
          <w:tcPr>
            <w:tcW w:type="dxa" w:w="4645"/>
            <w:shd w:val="clear" w:color="auto" w:fill="1F3A5F"/>
          </w:tcPr>
          <w:p>
            <w:pPr>
              <w:spacing w:after="0" w:before="0" w:line="240" w:lineRule="auto"/>
            </w:pPr>
            <w:r>
              <w:rPr>
                <w:b/>
                <w:color w:val="FFFFFF"/>
                <w:sz w:val="18"/>
              </w:rPr>
              <w:t>Statistic</w:t>
            </w:r>
          </w:p>
        </w:tc>
        <w:tc>
          <w:tcPr>
            <w:tcW w:type="dxa" w:w="4427"/>
            <w:shd w:val="clear" w:color="auto" w:fill="1F3A5F"/>
          </w:tcPr>
          <w:p>
            <w:pPr>
              <w:spacing w:after="0" w:before="0" w:line="240" w:lineRule="auto"/>
            </w:pPr>
            <w:r>
              <w:rPr>
                <w:b/>
                <w:color w:val="FFFFFF"/>
                <w:sz w:val="18"/>
              </w:rPr>
              <w:t>Value</w:t>
            </w:r>
          </w:p>
        </w:tc>
      </w:tr>
      <w:tr>
        <w:trPr>
          <w:cantSplit/>
        </w:trPr>
        <w:tc>
          <w:tcPr>
            <w:tcW w:type="dxa" w:w="4645"/>
          </w:tcPr>
          <w:p>
            <w:pPr>
              <w:spacing w:after="0" w:before="0" w:line="240" w:lineRule="auto"/>
            </w:pPr>
            <w:r>
              <w:rPr>
                <w:sz w:val="18"/>
              </w:rPr>
              <w:t>POs per supplier</w:t>
            </w:r>
          </w:p>
        </w:tc>
        <w:tc>
          <w:tcPr>
            <w:tcW w:type="dxa" w:w="4427"/>
          </w:tcPr>
          <w:p>
            <w:pPr>
              <w:spacing w:after="0" w:before="0" w:line="240" w:lineRule="auto"/>
            </w:pPr>
            <w:r>
              <w:rPr>
                <w:sz w:val="18"/>
              </w:rPr>
              <w:t>median 2, mean 2.6, max 12</w:t>
            </w:r>
          </w:p>
        </w:tc>
      </w:tr>
      <w:tr>
        <w:trPr>
          <w:cantSplit/>
        </w:trPr>
        <w:tc>
          <w:tcPr>
            <w:tcW w:type="dxa" w:w="4645"/>
            <w:shd w:val="clear" w:color="auto" w:fill="F3F6FA"/>
          </w:tcPr>
          <w:p>
            <w:pPr>
              <w:spacing w:after="0" w:before="0" w:line="240" w:lineRule="auto"/>
            </w:pPr>
            <w:r>
              <w:rPr>
                <w:sz w:val="18"/>
              </w:rPr>
              <w:t>Suppliers with only one PO</w:t>
            </w:r>
          </w:p>
        </w:tc>
        <w:tc>
          <w:tcPr>
            <w:tcW w:type="dxa" w:w="4427"/>
            <w:shd w:val="clear" w:color="auto" w:fill="F3F6FA"/>
          </w:tcPr>
          <w:p>
            <w:pPr>
              <w:spacing w:after="0" w:before="0" w:line="240" w:lineRule="auto"/>
            </w:pPr>
            <w:r>
              <w:rPr>
                <w:sz w:val="18"/>
              </w:rPr>
              <w:t>108 of 290</w:t>
            </w:r>
          </w:p>
        </w:tc>
      </w:tr>
      <w:tr>
        <w:trPr>
          <w:cantSplit/>
        </w:trPr>
        <w:tc>
          <w:tcPr>
            <w:tcW w:type="dxa" w:w="4645"/>
          </w:tcPr>
          <w:p>
            <w:pPr>
              <w:spacing w:after="0" w:before="0" w:line="240" w:lineRule="auto"/>
            </w:pPr>
            <w:r>
              <w:rPr>
                <w:sz w:val="18"/>
              </w:rPr>
              <w:t>Median average value per PO</w:t>
            </w:r>
          </w:p>
        </w:tc>
        <w:tc>
          <w:tcPr>
            <w:tcW w:type="dxa" w:w="4427"/>
          </w:tcPr>
          <w:p>
            <w:pPr>
              <w:spacing w:after="0" w:before="0" w:line="240" w:lineRule="auto"/>
            </w:pPr>
            <w:r>
              <w:rPr>
                <w:sz w:val="18"/>
              </w:rPr>
              <w:t>$3,350</w:t>
            </w:r>
          </w:p>
        </w:tc>
      </w:tr>
      <w:tr>
        <w:trPr>
          <w:cantSplit/>
        </w:trPr>
        <w:tc>
          <w:tcPr>
            <w:tcW w:type="dxa" w:w="4645"/>
            <w:shd w:val="clear" w:color="auto" w:fill="F3F6FA"/>
          </w:tcPr>
          <w:p>
            <w:pPr>
              <w:spacing w:after="0" w:before="0" w:line="240" w:lineRule="auto"/>
            </w:pPr>
            <w:r>
              <w:rPr>
                <w:sz w:val="18"/>
              </w:rPr>
              <w:t>Consolidation candidates (≥5 POs and below-median value per PO)</w:t>
            </w:r>
          </w:p>
        </w:tc>
        <w:tc>
          <w:tcPr>
            <w:tcW w:type="dxa" w:w="4427"/>
            <w:shd w:val="clear" w:color="auto" w:fill="F3F6FA"/>
          </w:tcPr>
          <w:p>
            <w:pPr>
              <w:spacing w:after="0" w:before="0" w:line="240" w:lineRule="auto"/>
            </w:pPr>
            <w:r>
              <w:rPr>
                <w:b/>
                <w:sz w:val="18"/>
              </w:rPr>
              <w:t>18 suppliers</w:t>
            </w:r>
            <w:r>
              <w:rPr>
                <w:sz w:val="18"/>
              </w:rPr>
              <w:t>: 105 POs (</w:t>
            </w:r>
            <w:r>
              <w:rPr>
                <w:b/>
                <w:sz w:val="18"/>
              </w:rPr>
              <w:t>14% of POs</w:t>
            </w:r>
            <w:r>
              <w:rPr>
                <w:sz w:val="18"/>
              </w:rPr>
              <w:t>), $106k (</w:t>
            </w:r>
            <w:r>
              <w:rPr>
                <w:b/>
                <w:sz w:val="18"/>
              </w:rPr>
              <w:t>3.5% of value</w:t>
            </w:r>
            <w:r>
              <w:rPr>
                <w:sz w:val="18"/>
              </w:rPr>
              <w:t>)</w:t>
            </w:r>
          </w:p>
        </w:tc>
      </w:tr>
    </w:tbl>
    <w:p>
      <w:pPr>
        <w:spacing w:after="40"/>
      </w:pPr>
    </w:p>
    <w:p>
      <w:r>
        <w:rPr>
          <w:b/>
        </w:rPr>
        <w:t>Finding.</w:t>
      </w:r>
      <w:r>
        <w:t xml:space="preserve"> A group of 18 suppliers receives frequent small orders. Examples are Naewkamdee Nattaya (8 POs, $144 each), Qompany (8 POs, $191 each) and Bike supplier 433 (6 POs, $110 each).</w:t>
      </w:r>
    </w:p>
    <w:p>
      <w:r>
        <w:rPr>
          <w:b/>
        </w:rPr>
        <w:t>Decision.</w:t>
      </w:r>
      <w:r>
        <w:t xml:space="preserve"> Replace these frequent small POs with a long-term contract or scheduling agreement and call-off orders. That cuts the processing cost per PO and gives a basis for volume pricing.</w:t>
      </w:r>
    </w:p>
    <w:p>
      <w:pPr>
        <w:pStyle w:val="Heading2"/>
      </w:pPr>
      <w:r>
        <w:t>3.2 Geography</w:t>
      </w:r>
    </w:p>
    <w:p>
      <w:pPr>
        <w:pStyle w:val="Heading3"/>
      </w:pPr>
      <w:r>
        <w:t>Q2. Supplier countries and US states</w:t>
      </w:r>
    </w:p>
    <w:p>
      <w:pPr>
        <w:keepNext/>
        <w:spacing w:after="40"/>
        <w:jc w:val="center"/>
      </w:pPr>
      <w:r>
        <w:drawing>
          <wp:inline xmlns:a="http://schemas.openxmlformats.org/drawingml/2006/main" xmlns:pic="http://schemas.openxmlformats.org/drawingml/2006/picture">
            <wp:extent cx="5760720" cy="1615317"/>
            <wp:docPr id="5" name="Picture 5"/>
            <wp:cNvGraphicFramePr>
              <a:graphicFrameLocks noChangeAspect="1"/>
            </wp:cNvGraphicFramePr>
            <a:graphic>
              <a:graphicData uri="http://schemas.openxmlformats.org/drawingml/2006/picture">
                <pic:pic>
                  <pic:nvPicPr>
                    <pic:cNvPr id="0" name="q2_domestic_overseas.png"/>
                    <pic:cNvPicPr/>
                  </pic:nvPicPr>
                  <pic:blipFill>
                    <a:blip r:embed="rId15"/>
                    <a:stretch>
                      <a:fillRect/>
                    </a:stretch>
                  </pic:blipFill>
                  <pic:spPr>
                    <a:xfrm>
                      <a:off x="0" y="0"/>
                      <a:ext cx="5760720" cy="1615317"/>
                    </a:xfrm>
                    <a:prstGeom prst="rect"/>
                  </pic:spPr>
                </pic:pic>
              </a:graphicData>
            </a:graphic>
          </wp:inline>
        </w:drawing>
      </w:r>
    </w:p>
    <w:p>
      <w:pPr>
        <w:spacing w:after="200"/>
        <w:jc w:val="center"/>
      </w:pPr>
      <w:r>
        <w:rPr>
          <w:i/>
          <w:color w:val="52514E"/>
          <w:sz w:val="17"/>
        </w:rPr>
        <w:t>Figure 5. Domestic vs overseas</w:t>
      </w:r>
    </w:p>
    <w:p>
      <w:pPr>
        <w:keepNext/>
        <w:spacing w:after="40"/>
        <w:jc w:val="center"/>
      </w:pPr>
      <w:r>
        <w:drawing>
          <wp:inline xmlns:a="http://schemas.openxmlformats.org/drawingml/2006/main" xmlns:pic="http://schemas.openxmlformats.org/drawingml/2006/picture">
            <wp:extent cx="5760720" cy="3308858"/>
            <wp:docPr id="6" name="Picture 6"/>
            <wp:cNvGraphicFramePr>
              <a:graphicFrameLocks noChangeAspect="1"/>
            </wp:cNvGraphicFramePr>
            <a:graphic>
              <a:graphicData uri="http://schemas.openxmlformats.org/drawingml/2006/picture">
                <pic:pic>
                  <pic:nvPicPr>
                    <pic:cNvPr id="0" name="q2_by_country.png"/>
                    <pic:cNvPicPr/>
                  </pic:nvPicPr>
                  <pic:blipFill>
                    <a:blip r:embed="rId16"/>
                    <a:stretch>
                      <a:fillRect/>
                    </a:stretch>
                  </pic:blipFill>
                  <pic:spPr>
                    <a:xfrm>
                      <a:off x="0" y="0"/>
                      <a:ext cx="5760720" cy="3308858"/>
                    </a:xfrm>
                    <a:prstGeom prst="rect"/>
                  </pic:spPr>
                </pic:pic>
              </a:graphicData>
            </a:graphic>
          </wp:inline>
        </w:drawing>
      </w:r>
    </w:p>
    <w:p>
      <w:pPr>
        <w:spacing w:after="200"/>
        <w:jc w:val="center"/>
      </w:pPr>
      <w:r>
        <w:rPr>
          <w:i/>
          <w:color w:val="52514E"/>
          <w:sz w:val="17"/>
        </w:rPr>
        <w:t>Figure 6. By country</w:t>
      </w:r>
    </w:p>
    <w:p>
      <w:pPr>
        <w:keepNext/>
        <w:spacing w:after="40"/>
        <w:jc w:val="center"/>
      </w:pPr>
      <w:r>
        <w:drawing>
          <wp:inline xmlns:a="http://schemas.openxmlformats.org/drawingml/2006/main" xmlns:pic="http://schemas.openxmlformats.org/drawingml/2006/picture">
            <wp:extent cx="5760720" cy="3092256"/>
            <wp:docPr id="7" name="Picture 7"/>
            <wp:cNvGraphicFramePr>
              <a:graphicFrameLocks noChangeAspect="1"/>
            </wp:cNvGraphicFramePr>
            <a:graphic>
              <a:graphicData uri="http://schemas.openxmlformats.org/drawingml/2006/picture">
                <pic:pic>
                  <pic:nvPicPr>
                    <pic:cNvPr id="0" name="q2_by_state.png"/>
                    <pic:cNvPicPr/>
                  </pic:nvPicPr>
                  <pic:blipFill>
                    <a:blip r:embed="rId17"/>
                    <a:stretch>
                      <a:fillRect/>
                    </a:stretch>
                  </pic:blipFill>
                  <pic:spPr>
                    <a:xfrm>
                      <a:off x="0" y="0"/>
                      <a:ext cx="5760720" cy="3092256"/>
                    </a:xfrm>
                    <a:prstGeom prst="rect"/>
                  </pic:spPr>
                </pic:pic>
              </a:graphicData>
            </a:graphic>
          </wp:inline>
        </w:drawing>
      </w:r>
    </w:p>
    <w:p>
      <w:pPr>
        <w:spacing w:after="200"/>
        <w:jc w:val="center"/>
      </w:pPr>
      <w:r>
        <w:rPr>
          <w:i/>
          <w:color w:val="52514E"/>
          <w:sz w:val="17"/>
        </w:rPr>
        <w:t>Figure 7. By US state</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1569"/>
        <w:gridCol w:w="1569"/>
        <w:gridCol w:w="1569"/>
        <w:gridCol w:w="1569"/>
        <w:gridCol w:w="1569"/>
        <w:gridCol w:w="1569"/>
      </w:tblGrid>
      <w:tr>
        <w:trPr>
          <w:cantSplit/>
          <w:tblHeader/>
        </w:trPr>
        <w:tc>
          <w:tcPr>
            <w:tcW w:type="dxa" w:w="2387"/>
            <w:shd w:val="clear" w:color="auto" w:fill="1F3A5F"/>
          </w:tcPr>
          <w:p>
            <w:pPr>
              <w:spacing w:after="0" w:before="0" w:line="240" w:lineRule="auto"/>
            </w:pPr>
            <w:r>
              <w:rPr>
                <w:b/>
                <w:color w:val="FFFFFF"/>
                <w:sz w:val="18"/>
              </w:rPr>
              <w:t>Origin</w:t>
            </w:r>
          </w:p>
        </w:tc>
        <w:tc>
          <w:tcPr>
            <w:tcW w:type="dxa" w:w="1528"/>
            <w:shd w:val="clear" w:color="auto" w:fill="1F3A5F"/>
          </w:tcPr>
          <w:p>
            <w:pPr>
              <w:spacing w:after="0" w:before="0" w:line="240" w:lineRule="auto"/>
              <w:jc w:val="right"/>
            </w:pPr>
            <w:r>
              <w:rPr>
                <w:b/>
                <w:color w:val="FFFFFF"/>
                <w:sz w:val="18"/>
              </w:rPr>
              <w:t>Net PO value</w:t>
            </w:r>
          </w:p>
        </w:tc>
        <w:tc>
          <w:tcPr>
            <w:tcW w:type="dxa" w:w="1432"/>
            <w:shd w:val="clear" w:color="auto" w:fill="1F3A5F"/>
          </w:tcPr>
          <w:p>
            <w:pPr>
              <w:spacing w:after="0" w:before="0" w:line="240" w:lineRule="auto"/>
              <w:jc w:val="right"/>
            </w:pPr>
            <w:r>
              <w:rPr>
                <w:b/>
                <w:color w:val="FFFFFF"/>
                <w:sz w:val="18"/>
              </w:rPr>
              <w:t>Value share</w:t>
            </w:r>
          </w:p>
        </w:tc>
        <w:tc>
          <w:tcPr>
            <w:tcW w:type="dxa" w:w="1146"/>
            <w:shd w:val="clear" w:color="auto" w:fill="1F3A5F"/>
          </w:tcPr>
          <w:p>
            <w:pPr>
              <w:spacing w:after="0" w:before="0" w:line="240" w:lineRule="auto"/>
              <w:jc w:val="right"/>
            </w:pPr>
            <w:r>
              <w:rPr>
                <w:b/>
                <w:color w:val="FFFFFF"/>
                <w:sz w:val="18"/>
              </w:rPr>
              <w:t>PO items</w:t>
            </w:r>
          </w:p>
        </w:tc>
        <w:tc>
          <w:tcPr>
            <w:tcW w:type="dxa" w:w="1337"/>
            <w:shd w:val="clear" w:color="auto" w:fill="1F3A5F"/>
          </w:tcPr>
          <w:p>
            <w:pPr>
              <w:spacing w:after="0" w:before="0" w:line="240" w:lineRule="auto"/>
              <w:jc w:val="right"/>
            </w:pPr>
            <w:r>
              <w:rPr>
                <w:b/>
                <w:color w:val="FFFFFF"/>
                <w:sz w:val="18"/>
              </w:rPr>
              <w:t>Item share</w:t>
            </w:r>
          </w:p>
        </w:tc>
        <w:tc>
          <w:tcPr>
            <w:tcW w:type="dxa" w:w="1241"/>
            <w:shd w:val="clear" w:color="auto" w:fill="1F3A5F"/>
          </w:tcPr>
          <w:p>
            <w:pPr>
              <w:spacing w:after="0" w:before="0" w:line="240" w:lineRule="auto"/>
              <w:jc w:val="right"/>
            </w:pPr>
            <w:r>
              <w:rPr>
                <w:b/>
                <w:color w:val="FFFFFF"/>
                <w:sz w:val="18"/>
              </w:rPr>
              <w:t>Suppliers</w:t>
            </w:r>
          </w:p>
        </w:tc>
      </w:tr>
      <w:tr>
        <w:trPr>
          <w:cantSplit/>
        </w:trPr>
        <w:tc>
          <w:tcPr>
            <w:tcW w:type="dxa" w:w="2387"/>
          </w:tcPr>
          <w:p>
            <w:pPr>
              <w:spacing w:after="0" w:before="0" w:line="240" w:lineRule="auto"/>
            </w:pPr>
            <w:r>
              <w:rPr>
                <w:sz w:val="18"/>
              </w:rPr>
              <w:t>Domestic (US)</w:t>
            </w:r>
          </w:p>
        </w:tc>
        <w:tc>
          <w:tcPr>
            <w:tcW w:type="dxa" w:w="1528"/>
          </w:tcPr>
          <w:p>
            <w:pPr>
              <w:spacing w:after="0" w:before="0" w:line="240" w:lineRule="auto"/>
              <w:jc w:val="right"/>
            </w:pPr>
            <w:r>
              <w:rPr>
                <w:sz w:val="18"/>
              </w:rPr>
              <w:t>$2,914,068</w:t>
            </w:r>
          </w:p>
        </w:tc>
        <w:tc>
          <w:tcPr>
            <w:tcW w:type="dxa" w:w="1432"/>
          </w:tcPr>
          <w:p>
            <w:pPr>
              <w:spacing w:after="0" w:before="0" w:line="240" w:lineRule="auto"/>
              <w:jc w:val="right"/>
            </w:pPr>
            <w:r>
              <w:rPr>
                <w:b/>
                <w:sz w:val="18"/>
              </w:rPr>
              <w:t>95.4%</w:t>
            </w:r>
          </w:p>
        </w:tc>
        <w:tc>
          <w:tcPr>
            <w:tcW w:type="dxa" w:w="1146"/>
          </w:tcPr>
          <w:p>
            <w:pPr>
              <w:spacing w:after="0" w:before="0" w:line="240" w:lineRule="auto"/>
              <w:jc w:val="right"/>
            </w:pPr>
            <w:r>
              <w:rPr>
                <w:sz w:val="18"/>
              </w:rPr>
              <w:t>695</w:t>
            </w:r>
          </w:p>
        </w:tc>
        <w:tc>
          <w:tcPr>
            <w:tcW w:type="dxa" w:w="1337"/>
          </w:tcPr>
          <w:p>
            <w:pPr>
              <w:spacing w:after="0" w:before="0" w:line="240" w:lineRule="auto"/>
              <w:jc w:val="right"/>
            </w:pPr>
            <w:r>
              <w:rPr>
                <w:sz w:val="18"/>
              </w:rPr>
              <w:t>78.6%</w:t>
            </w:r>
          </w:p>
        </w:tc>
        <w:tc>
          <w:tcPr>
            <w:tcW w:type="dxa" w:w="1241"/>
          </w:tcPr>
          <w:p>
            <w:pPr>
              <w:spacing w:after="0" w:before="0" w:line="240" w:lineRule="auto"/>
              <w:jc w:val="right"/>
            </w:pPr>
            <w:r>
              <w:rPr>
                <w:sz w:val="18"/>
              </w:rPr>
              <w:t>236</w:t>
            </w:r>
          </w:p>
        </w:tc>
      </w:tr>
      <w:tr>
        <w:trPr>
          <w:cantSplit/>
        </w:trPr>
        <w:tc>
          <w:tcPr>
            <w:tcW w:type="dxa" w:w="2387"/>
            <w:shd w:val="clear" w:color="auto" w:fill="F3F6FA"/>
          </w:tcPr>
          <w:p>
            <w:pPr>
              <w:spacing w:after="0" w:before="0" w:line="240" w:lineRule="auto"/>
            </w:pPr>
            <w:r>
              <w:rPr>
                <w:sz w:val="18"/>
              </w:rPr>
              <w:t>Overseas</w:t>
            </w:r>
          </w:p>
        </w:tc>
        <w:tc>
          <w:tcPr>
            <w:tcW w:type="dxa" w:w="1528"/>
            <w:shd w:val="clear" w:color="auto" w:fill="F3F6FA"/>
          </w:tcPr>
          <w:p>
            <w:pPr>
              <w:spacing w:after="0" w:before="0" w:line="240" w:lineRule="auto"/>
              <w:jc w:val="right"/>
            </w:pPr>
            <w:r>
              <w:rPr>
                <w:sz w:val="18"/>
              </w:rPr>
              <w:t>$142,003</w:t>
            </w:r>
          </w:p>
        </w:tc>
        <w:tc>
          <w:tcPr>
            <w:tcW w:type="dxa" w:w="1432"/>
            <w:shd w:val="clear" w:color="auto" w:fill="F3F6FA"/>
          </w:tcPr>
          <w:p>
            <w:pPr>
              <w:spacing w:after="0" w:before="0" w:line="240" w:lineRule="auto"/>
              <w:jc w:val="right"/>
            </w:pPr>
            <w:r>
              <w:rPr>
                <w:b/>
                <w:sz w:val="18"/>
              </w:rPr>
              <w:t>4.6%</w:t>
            </w:r>
          </w:p>
        </w:tc>
        <w:tc>
          <w:tcPr>
            <w:tcW w:type="dxa" w:w="1146"/>
            <w:shd w:val="clear" w:color="auto" w:fill="F3F6FA"/>
          </w:tcPr>
          <w:p>
            <w:pPr>
              <w:spacing w:after="0" w:before="0" w:line="240" w:lineRule="auto"/>
              <w:jc w:val="right"/>
            </w:pPr>
            <w:r>
              <w:rPr>
                <w:sz w:val="18"/>
              </w:rPr>
              <w:t>178</w:t>
            </w:r>
          </w:p>
        </w:tc>
        <w:tc>
          <w:tcPr>
            <w:tcW w:type="dxa" w:w="1337"/>
            <w:shd w:val="clear" w:color="auto" w:fill="F3F6FA"/>
          </w:tcPr>
          <w:p>
            <w:pPr>
              <w:spacing w:after="0" w:before="0" w:line="240" w:lineRule="auto"/>
              <w:jc w:val="right"/>
            </w:pPr>
            <w:r>
              <w:rPr>
                <w:sz w:val="18"/>
              </w:rPr>
              <w:t>20.1%</w:t>
            </w:r>
          </w:p>
        </w:tc>
        <w:tc>
          <w:tcPr>
            <w:tcW w:type="dxa" w:w="1241"/>
            <w:shd w:val="clear" w:color="auto" w:fill="F3F6FA"/>
          </w:tcPr>
          <w:p>
            <w:pPr>
              <w:spacing w:after="0" w:before="0" w:line="240" w:lineRule="auto"/>
              <w:jc w:val="right"/>
            </w:pPr>
            <w:r>
              <w:rPr>
                <w:sz w:val="18"/>
              </w:rPr>
              <w:t>54</w:t>
            </w:r>
          </w:p>
        </w:tc>
      </w:tr>
      <w:tr>
        <w:trPr>
          <w:cantSplit/>
        </w:trPr>
        <w:tc>
          <w:tcPr>
            <w:tcW w:type="dxa" w:w="2387"/>
          </w:tcPr>
          <w:p>
            <w:pPr>
              <w:spacing w:after="0" w:before="0" w:line="240" w:lineRule="auto"/>
            </w:pPr>
            <w:r>
              <w:rPr>
                <w:sz w:val="18"/>
              </w:rPr>
              <w:t>Unknown (no supplier)</w:t>
            </w:r>
          </w:p>
        </w:tc>
        <w:tc>
          <w:tcPr>
            <w:tcW w:type="dxa" w:w="1528"/>
          </w:tcPr>
          <w:p>
            <w:pPr>
              <w:spacing w:after="0" w:before="0" w:line="240" w:lineRule="auto"/>
              <w:jc w:val="right"/>
            </w:pPr>
            <w:r>
              <w:rPr>
                <w:sz w:val="18"/>
              </w:rPr>
              <w:t>$0</w:t>
            </w:r>
          </w:p>
        </w:tc>
        <w:tc>
          <w:tcPr>
            <w:tcW w:type="dxa" w:w="1432"/>
          </w:tcPr>
          <w:p>
            <w:pPr>
              <w:spacing w:after="0" w:before="0" w:line="240" w:lineRule="auto"/>
              <w:jc w:val="right"/>
            </w:pPr>
            <w:r>
              <w:rPr>
                <w:sz w:val="18"/>
              </w:rPr>
              <w:t>0.0%</w:t>
            </w:r>
          </w:p>
        </w:tc>
        <w:tc>
          <w:tcPr>
            <w:tcW w:type="dxa" w:w="1146"/>
          </w:tcPr>
          <w:p>
            <w:pPr>
              <w:spacing w:after="0" w:before="0" w:line="240" w:lineRule="auto"/>
              <w:jc w:val="right"/>
            </w:pPr>
            <w:r>
              <w:rPr>
                <w:sz w:val="18"/>
              </w:rPr>
              <w:t>11</w:t>
            </w:r>
          </w:p>
        </w:tc>
        <w:tc>
          <w:tcPr>
            <w:tcW w:type="dxa" w:w="1337"/>
          </w:tcPr>
          <w:p>
            <w:pPr>
              <w:spacing w:after="0" w:before="0" w:line="240" w:lineRule="auto"/>
              <w:jc w:val="right"/>
            </w:pPr>
            <w:r>
              <w:rPr>
                <w:sz w:val="18"/>
              </w:rPr>
              <w:t>1.2%</w:t>
            </w:r>
          </w:p>
        </w:tc>
        <w:tc>
          <w:tcPr>
            <w:tcW w:type="dxa" w:w="1241"/>
          </w:tcPr>
          <w:p>
            <w:pPr>
              <w:spacing w:after="0" w:before="0" w:line="240" w:lineRule="auto"/>
              <w:jc w:val="right"/>
            </w:pPr>
            <w:r>
              <w:rPr>
                <w:sz w:val="18"/>
              </w:rPr>
              <w:t>0</w:t>
            </w:r>
          </w:p>
        </w:tc>
      </w:tr>
    </w:tbl>
    <w:p>
      <w:pPr>
        <w:spacing w:after="40"/>
      </w:pPr>
    </w:p>
    <w:p>
      <w:r>
        <w:t xml:space="preserve">Overseas value is mostly Germany ($99k, 3.2%) and Hungary ($25k, 0.8%). In the US: Texas 23.6%, Nebraska 21.1%, Florida 6.5%, and </w:t>
      </w:r>
      <w:r>
        <w:rPr>
          <w:b/>
        </w:rPr>
        <w:t>no state recorded 44.7%</w:t>
      </w:r>
      <w:r>
        <w:t>.</w:t>
      </w:r>
    </w:p>
    <w:p>
      <w:r>
        <w:rPr>
          <w:b/>
        </w:rPr>
        <w:t>Finding.</w:t>
      </w:r>
      <w:r>
        <w:t xml:space="preserve"> In value terms the supplier network is almost entirely domestic. Overseas suppliers make up 20% of order lines but under 5% of value, so they handle many small orders.</w:t>
      </w:r>
    </w:p>
    <w:p>
      <w:r>
        <w:rPr>
          <w:b/>
        </w:rPr>
        <w:t>Decision.</w:t>
      </w:r>
      <w:r>
        <w:t xml:space="preserve"> The procurement strategy calls for a </w:t>
      </w:r>
      <w:r>
        <w:rPr>
          <w:i/>
        </w:rPr>
        <w:t>globally diversified</w:t>
      </w:r>
      <w:r>
        <w:t xml:space="preserve"> network. The data shows little diversification by value, so Antonio should decide whether to qualify overseas sources for high-value items rather than only small ones.</w:t>
      </w:r>
    </w:p>
    <w:p>
      <w:pPr>
        <w:pStyle w:val="Heading3"/>
      </w:pPr>
      <w:r>
        <w:t>Q6. Receiving plant vs supplier region</w:t>
      </w:r>
    </w:p>
    <w:p>
      <w:pPr>
        <w:keepNext/>
        <w:spacing w:after="40"/>
        <w:jc w:val="center"/>
      </w:pPr>
      <w:r>
        <w:drawing>
          <wp:inline xmlns:a="http://schemas.openxmlformats.org/drawingml/2006/main" xmlns:pic="http://schemas.openxmlformats.org/drawingml/2006/picture">
            <wp:extent cx="5760720" cy="2065223"/>
            <wp:docPr id="8" name="Picture 8"/>
            <wp:cNvGraphicFramePr>
              <a:graphicFrameLocks noChangeAspect="1"/>
            </wp:cNvGraphicFramePr>
            <a:graphic>
              <a:graphicData uri="http://schemas.openxmlformats.org/drawingml/2006/picture">
                <pic:pic>
                  <pic:nvPicPr>
                    <pic:cNvPr id="0" name="q6_plant_by_country.png"/>
                    <pic:cNvPicPr/>
                  </pic:nvPicPr>
                  <pic:blipFill>
                    <a:blip r:embed="rId18"/>
                    <a:stretch>
                      <a:fillRect/>
                    </a:stretch>
                  </pic:blipFill>
                  <pic:spPr>
                    <a:xfrm>
                      <a:off x="0" y="0"/>
                      <a:ext cx="5760720" cy="2065223"/>
                    </a:xfrm>
                    <a:prstGeom prst="rect"/>
                  </pic:spPr>
                </pic:pic>
              </a:graphicData>
            </a:graphic>
          </wp:inline>
        </w:drawing>
      </w:r>
    </w:p>
    <w:p>
      <w:pPr>
        <w:spacing w:after="200"/>
        <w:jc w:val="center"/>
      </w:pPr>
      <w:r>
        <w:rPr>
          <w:i/>
          <w:color w:val="52514E"/>
          <w:sz w:val="17"/>
        </w:rPr>
        <w:t>Figure 8. Plant by supplier country</w:t>
      </w:r>
    </w:p>
    <w:p>
      <w:pPr>
        <w:keepNext/>
        <w:spacing w:after="40"/>
        <w:jc w:val="center"/>
      </w:pPr>
      <w:r>
        <w:drawing>
          <wp:inline xmlns:a="http://schemas.openxmlformats.org/drawingml/2006/main" xmlns:pic="http://schemas.openxmlformats.org/drawingml/2006/picture">
            <wp:extent cx="5760720" cy="1726284"/>
            <wp:docPr id="9" name="Picture 9"/>
            <wp:cNvGraphicFramePr>
              <a:graphicFrameLocks noChangeAspect="1"/>
            </wp:cNvGraphicFramePr>
            <a:graphic>
              <a:graphicData uri="http://schemas.openxmlformats.org/drawingml/2006/picture">
                <pic:pic>
                  <pic:nvPicPr>
                    <pic:cNvPr id="0" name="q6_plant_top_regions.png"/>
                    <pic:cNvPicPr/>
                  </pic:nvPicPr>
                  <pic:blipFill>
                    <a:blip r:embed="rId19"/>
                    <a:stretch>
                      <a:fillRect/>
                    </a:stretch>
                  </pic:blipFill>
                  <pic:spPr>
                    <a:xfrm>
                      <a:off x="0" y="0"/>
                      <a:ext cx="5760720" cy="1726284"/>
                    </a:xfrm>
                    <a:prstGeom prst="rect"/>
                  </pic:spPr>
                </pic:pic>
              </a:graphicData>
            </a:graphic>
          </wp:inline>
        </w:drawing>
      </w:r>
    </w:p>
    <w:p>
      <w:pPr>
        <w:spacing w:after="200"/>
        <w:jc w:val="center"/>
      </w:pPr>
      <w:r>
        <w:rPr>
          <w:i/>
          <w:color w:val="52514E"/>
          <w:sz w:val="17"/>
        </w:rPr>
        <w:t>Figure 9. Top regions per plant</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1569"/>
        <w:gridCol w:w="1569"/>
        <w:gridCol w:w="1569"/>
        <w:gridCol w:w="1569"/>
        <w:gridCol w:w="1569"/>
        <w:gridCol w:w="1569"/>
      </w:tblGrid>
      <w:tr>
        <w:trPr>
          <w:cantSplit/>
          <w:tblHeader/>
        </w:trPr>
        <w:tc>
          <w:tcPr>
            <w:tcW w:type="dxa" w:w="1471"/>
            <w:shd w:val="clear" w:color="auto" w:fill="1F3A5F"/>
          </w:tcPr>
          <w:p>
            <w:pPr>
              <w:spacing w:after="0" w:before="0" w:line="240" w:lineRule="auto"/>
            </w:pPr>
            <w:r>
              <w:rPr>
                <w:b/>
                <w:color w:val="FFFFFF"/>
                <w:sz w:val="18"/>
              </w:rPr>
              <w:t>Plant</w:t>
            </w:r>
          </w:p>
        </w:tc>
        <w:tc>
          <w:tcPr>
            <w:tcW w:type="dxa" w:w="1308"/>
            <w:shd w:val="clear" w:color="auto" w:fill="1F3A5F"/>
          </w:tcPr>
          <w:p>
            <w:pPr>
              <w:spacing w:after="0" w:before="0" w:line="240" w:lineRule="auto"/>
              <w:jc w:val="right"/>
            </w:pPr>
            <w:r>
              <w:rPr>
                <w:b/>
                <w:color w:val="FFFFFF"/>
                <w:sz w:val="18"/>
              </w:rPr>
              <w:t>Net PO value</w:t>
            </w:r>
          </w:p>
        </w:tc>
        <w:tc>
          <w:tcPr>
            <w:tcW w:type="dxa" w:w="981"/>
            <w:shd w:val="clear" w:color="auto" w:fill="1F3A5F"/>
          </w:tcPr>
          <w:p>
            <w:pPr>
              <w:spacing w:after="0" w:before="0" w:line="240" w:lineRule="auto"/>
              <w:jc w:val="right"/>
            </w:pPr>
            <w:r>
              <w:rPr>
                <w:b/>
                <w:color w:val="FFFFFF"/>
                <w:sz w:val="18"/>
              </w:rPr>
              <w:t>US share</w:t>
            </w:r>
          </w:p>
        </w:tc>
        <w:tc>
          <w:tcPr>
            <w:tcW w:type="dxa" w:w="1716"/>
            <w:shd w:val="clear" w:color="auto" w:fill="1F3A5F"/>
          </w:tcPr>
          <w:p>
            <w:pPr>
              <w:spacing w:after="0" w:before="0" w:line="240" w:lineRule="auto"/>
            </w:pPr>
            <w:r>
              <w:rPr>
                <w:b/>
                <w:color w:val="FFFFFF"/>
                <w:sz w:val="18"/>
              </w:rPr>
              <w:t>Largest region</w:t>
            </w:r>
          </w:p>
        </w:tc>
        <w:tc>
          <w:tcPr>
            <w:tcW w:type="dxa" w:w="736"/>
            <w:shd w:val="clear" w:color="auto" w:fill="1F3A5F"/>
          </w:tcPr>
          <w:p>
            <w:pPr>
              <w:spacing w:after="0" w:before="0" w:line="240" w:lineRule="auto"/>
              <w:jc w:val="right"/>
            </w:pPr>
            <w:r>
              <w:rPr>
                <w:b/>
                <w:color w:val="FFFFFF"/>
                <w:sz w:val="18"/>
              </w:rPr>
              <w:t>Share</w:t>
            </w:r>
          </w:p>
        </w:tc>
        <w:tc>
          <w:tcPr>
            <w:tcW w:type="dxa" w:w="2861"/>
            <w:shd w:val="clear" w:color="auto" w:fill="1F3A5F"/>
          </w:tcPr>
          <w:p>
            <w:pPr>
              <w:spacing w:after="0" w:before="0" w:line="240" w:lineRule="auto"/>
            </w:pPr>
            <w:r>
              <w:rPr>
                <w:b/>
                <w:color w:val="FFFFFF"/>
                <w:sz w:val="18"/>
              </w:rPr>
              <w:t>Dependent (&gt;50%)?</w:t>
            </w:r>
          </w:p>
        </w:tc>
      </w:tr>
      <w:tr>
        <w:trPr>
          <w:cantSplit/>
        </w:trPr>
        <w:tc>
          <w:tcPr>
            <w:tcW w:type="dxa" w:w="1471"/>
          </w:tcPr>
          <w:p>
            <w:pPr>
              <w:spacing w:after="0" w:before="0" w:line="240" w:lineRule="auto"/>
            </w:pPr>
            <w:r>
              <w:rPr>
                <w:sz w:val="18"/>
              </w:rPr>
              <w:t>Miami MI00</w:t>
            </w:r>
          </w:p>
        </w:tc>
        <w:tc>
          <w:tcPr>
            <w:tcW w:type="dxa" w:w="1308"/>
          </w:tcPr>
          <w:p>
            <w:pPr>
              <w:spacing w:after="0" w:before="0" w:line="240" w:lineRule="auto"/>
              <w:jc w:val="right"/>
            </w:pPr>
            <w:r>
              <w:rPr>
                <w:sz w:val="18"/>
              </w:rPr>
              <w:t>$2,914,946</w:t>
            </w:r>
          </w:p>
        </w:tc>
        <w:tc>
          <w:tcPr>
            <w:tcW w:type="dxa" w:w="981"/>
          </w:tcPr>
          <w:p>
            <w:pPr>
              <w:spacing w:after="0" w:before="0" w:line="240" w:lineRule="auto"/>
              <w:jc w:val="right"/>
            </w:pPr>
            <w:r>
              <w:rPr>
                <w:sz w:val="18"/>
              </w:rPr>
              <w:t>95.4%</w:t>
            </w:r>
          </w:p>
        </w:tc>
        <w:tc>
          <w:tcPr>
            <w:tcW w:type="dxa" w:w="1716"/>
          </w:tcPr>
          <w:p>
            <w:pPr>
              <w:spacing w:after="0" w:before="0" w:line="240" w:lineRule="auto"/>
            </w:pPr>
            <w:r>
              <w:rPr>
                <w:sz w:val="18"/>
              </w:rPr>
              <w:t>US, state unknown</w:t>
            </w:r>
          </w:p>
        </w:tc>
        <w:tc>
          <w:tcPr>
            <w:tcW w:type="dxa" w:w="736"/>
          </w:tcPr>
          <w:p>
            <w:pPr>
              <w:spacing w:after="0" w:before="0" w:line="240" w:lineRule="auto"/>
              <w:jc w:val="right"/>
            </w:pPr>
            <w:r>
              <w:rPr>
                <w:sz w:val="18"/>
              </w:rPr>
              <w:t>40%</w:t>
            </w:r>
          </w:p>
        </w:tc>
        <w:tc>
          <w:tcPr>
            <w:tcW w:type="dxa" w:w="2861"/>
          </w:tcPr>
          <w:p>
            <w:pPr>
              <w:spacing w:after="0" w:before="0" w:line="240" w:lineRule="auto"/>
            </w:pPr>
            <w:r>
              <w:rPr>
                <w:sz w:val="18"/>
              </w:rPr>
              <w:t>No (then TX 24%, NE 21%)</w:t>
            </w:r>
          </w:p>
        </w:tc>
      </w:tr>
      <w:tr>
        <w:trPr>
          <w:cantSplit/>
        </w:trPr>
        <w:tc>
          <w:tcPr>
            <w:tcW w:type="dxa" w:w="1471"/>
            <w:shd w:val="clear" w:color="auto" w:fill="F3F6FA"/>
          </w:tcPr>
          <w:p>
            <w:pPr>
              <w:spacing w:after="0" w:before="0" w:line="240" w:lineRule="auto"/>
            </w:pPr>
            <w:r>
              <w:rPr>
                <w:sz w:val="18"/>
              </w:rPr>
              <w:t>Dallas DL00</w:t>
            </w:r>
          </w:p>
        </w:tc>
        <w:tc>
          <w:tcPr>
            <w:tcW w:type="dxa" w:w="1308"/>
            <w:shd w:val="clear" w:color="auto" w:fill="F3F6FA"/>
          </w:tcPr>
          <w:p>
            <w:pPr>
              <w:spacing w:after="0" w:before="0" w:line="240" w:lineRule="auto"/>
              <w:jc w:val="right"/>
            </w:pPr>
            <w:r>
              <w:rPr>
                <w:sz w:val="18"/>
              </w:rPr>
              <w:t>$139,054</w:t>
            </w:r>
          </w:p>
        </w:tc>
        <w:tc>
          <w:tcPr>
            <w:tcW w:type="dxa" w:w="981"/>
            <w:shd w:val="clear" w:color="auto" w:fill="F3F6FA"/>
          </w:tcPr>
          <w:p>
            <w:pPr>
              <w:spacing w:after="0" w:before="0" w:line="240" w:lineRule="auto"/>
              <w:jc w:val="right"/>
            </w:pPr>
            <w:r>
              <w:rPr>
                <w:sz w:val="18"/>
              </w:rPr>
              <w:t>94.9%</w:t>
            </w:r>
          </w:p>
        </w:tc>
        <w:tc>
          <w:tcPr>
            <w:tcW w:type="dxa" w:w="1716"/>
            <w:shd w:val="clear" w:color="auto" w:fill="F3F6FA"/>
          </w:tcPr>
          <w:p>
            <w:pPr>
              <w:spacing w:after="0" w:before="0" w:line="240" w:lineRule="auto"/>
            </w:pPr>
            <w:r>
              <w:rPr>
                <w:sz w:val="18"/>
              </w:rPr>
              <w:t>US, state unknown</w:t>
            </w:r>
          </w:p>
        </w:tc>
        <w:tc>
          <w:tcPr>
            <w:tcW w:type="dxa" w:w="736"/>
            <w:shd w:val="clear" w:color="auto" w:fill="F3F6FA"/>
          </w:tcPr>
          <w:p>
            <w:pPr>
              <w:spacing w:after="0" w:before="0" w:line="240" w:lineRule="auto"/>
              <w:jc w:val="right"/>
            </w:pPr>
            <w:r>
              <w:rPr>
                <w:b/>
                <w:sz w:val="18"/>
              </w:rPr>
              <w:t>91%</w:t>
            </w:r>
          </w:p>
        </w:tc>
        <w:tc>
          <w:tcPr>
            <w:tcW w:type="dxa" w:w="2861"/>
            <w:shd w:val="clear" w:color="auto" w:fill="F3F6FA"/>
          </w:tcPr>
          <w:p>
            <w:pPr>
              <w:spacing w:after="0" w:before="0" w:line="240" w:lineRule="auto"/>
            </w:pPr>
            <w:r>
              <w:rPr>
                <w:sz w:val="18"/>
              </w:rPr>
              <w:t>Yes, but caused by missing data</w:t>
            </w:r>
          </w:p>
        </w:tc>
      </w:tr>
      <w:tr>
        <w:trPr>
          <w:cantSplit/>
        </w:trPr>
        <w:tc>
          <w:tcPr>
            <w:tcW w:type="dxa" w:w="1471"/>
          </w:tcPr>
          <w:p>
            <w:pPr>
              <w:spacing w:after="0" w:before="0" w:line="240" w:lineRule="auto"/>
            </w:pPr>
            <w:r>
              <w:rPr>
                <w:sz w:val="18"/>
              </w:rPr>
              <w:t>San Diego SD00</w:t>
            </w:r>
          </w:p>
        </w:tc>
        <w:tc>
          <w:tcPr>
            <w:tcW w:type="dxa" w:w="1308"/>
          </w:tcPr>
          <w:p>
            <w:pPr>
              <w:spacing w:after="0" w:before="0" w:line="240" w:lineRule="auto"/>
              <w:jc w:val="right"/>
            </w:pPr>
            <w:r>
              <w:rPr>
                <w:sz w:val="18"/>
              </w:rPr>
              <w:t>$1,000</w:t>
            </w:r>
          </w:p>
        </w:tc>
        <w:tc>
          <w:tcPr>
            <w:tcW w:type="dxa" w:w="981"/>
          </w:tcPr>
          <w:p>
            <w:pPr>
              <w:spacing w:after="0" w:before="0" w:line="240" w:lineRule="auto"/>
              <w:jc w:val="right"/>
            </w:pPr>
            <w:r>
              <w:rPr>
                <w:sz w:val="18"/>
              </w:rPr>
              <w:t>100%</w:t>
            </w:r>
          </w:p>
        </w:tc>
        <w:tc>
          <w:tcPr>
            <w:tcW w:type="dxa" w:w="1716"/>
          </w:tcPr>
          <w:p>
            <w:pPr>
              <w:spacing w:after="0" w:before="0" w:line="240" w:lineRule="auto"/>
            </w:pPr>
            <w:r>
              <w:rPr>
                <w:sz w:val="18"/>
              </w:rPr>
              <w:t>1 item only</w:t>
            </w:r>
          </w:p>
        </w:tc>
        <w:tc>
          <w:tcPr>
            <w:tcW w:type="dxa" w:w="736"/>
          </w:tcPr>
          <w:p>
            <w:pPr>
              <w:spacing w:after="0" w:before="0" w:line="240" w:lineRule="auto"/>
              <w:jc w:val="right"/>
            </w:pPr>
            <w:r>
              <w:rPr>
                <w:sz w:val="18"/>
              </w:rPr>
              <w:t>–</w:t>
            </w:r>
          </w:p>
        </w:tc>
        <w:tc>
          <w:tcPr>
            <w:tcW w:type="dxa" w:w="2861"/>
          </w:tcPr>
          <w:p>
            <w:pPr>
              <w:spacing w:after="0" w:before="0" w:line="240" w:lineRule="auto"/>
            </w:pPr>
            <w:r>
              <w:rPr>
                <w:sz w:val="18"/>
              </w:rPr>
              <w:t>–</w:t>
            </w:r>
          </w:p>
        </w:tc>
      </w:tr>
    </w:tbl>
    <w:p>
      <w:pPr>
        <w:spacing w:after="40"/>
      </w:pPr>
    </w:p>
    <w:p>
      <w:r>
        <w:rPr>
          <w:b/>
        </w:rPr>
        <w:t>Finding.</w:t>
      </w:r>
      <w:r>
        <w:t xml:space="preserve"> Both main plants source about 95% domestically. Miami's regional supply is spread out. Dallas appears to depend on one region, but that "region" is suppliers with no state recorded.</w:t>
      </w:r>
    </w:p>
    <w:p>
      <w:r>
        <w:rPr>
          <w:b/>
        </w:rPr>
        <w:t>Decision.</w:t>
      </w:r>
      <w:r>
        <w:t xml:space="preserve"> At country level, both plants depend on domestic supply. Dallas's regional dependence can't be judged yet, so completing supplier addresses is a prerequisite.</w:t>
      </w:r>
    </w:p>
    <w:p>
      <w:pPr>
        <w:pStyle w:val="Heading2"/>
      </w:pPr>
      <w:r>
        <w:t>3.3 Time</w:t>
      </w:r>
    </w:p>
    <w:p>
      <w:pPr>
        <w:pStyle w:val="Heading3"/>
      </w:pPr>
      <w:r>
        <w:t>Q3. Monthly Net PO value and PO count</w:t>
      </w:r>
    </w:p>
    <w:p>
      <w:pPr>
        <w:keepNext/>
        <w:spacing w:after="40"/>
        <w:jc w:val="center"/>
      </w:pPr>
      <w:r>
        <w:drawing>
          <wp:inline xmlns:a="http://schemas.openxmlformats.org/drawingml/2006/main" xmlns:pic="http://schemas.openxmlformats.org/drawingml/2006/picture">
            <wp:extent cx="5760720" cy="3703320"/>
            <wp:docPr id="10" name="Picture 10"/>
            <wp:cNvGraphicFramePr>
              <a:graphicFrameLocks noChangeAspect="1"/>
            </wp:cNvGraphicFramePr>
            <a:graphic>
              <a:graphicData uri="http://schemas.openxmlformats.org/drawingml/2006/picture">
                <pic:pic>
                  <pic:nvPicPr>
                    <pic:cNvPr id="0" name="q3_monthly.png"/>
                    <pic:cNvPicPr/>
                  </pic:nvPicPr>
                  <pic:blipFill>
                    <a:blip r:embed="rId20"/>
                    <a:stretch>
                      <a:fillRect/>
                    </a:stretch>
                  </pic:blipFill>
                  <pic:spPr>
                    <a:xfrm>
                      <a:off x="0" y="0"/>
                      <a:ext cx="5760720" cy="3703320"/>
                    </a:xfrm>
                    <a:prstGeom prst="rect"/>
                  </pic:spPr>
                </pic:pic>
              </a:graphicData>
            </a:graphic>
          </wp:inline>
        </w:drawing>
      </w:r>
    </w:p>
    <w:p>
      <w:pPr>
        <w:spacing w:after="200"/>
        <w:jc w:val="center"/>
      </w:pPr>
      <w:r>
        <w:rPr>
          <w:i/>
          <w:color w:val="52514E"/>
          <w:sz w:val="17"/>
        </w:rPr>
        <w:t>Figure 10. Monthly trend</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2353"/>
        <w:gridCol w:w="2353"/>
        <w:gridCol w:w="2353"/>
        <w:gridCol w:w="2353"/>
      </w:tblGrid>
      <w:tr>
        <w:trPr>
          <w:cantSplit/>
          <w:tblHeader/>
        </w:trPr>
        <w:tc>
          <w:tcPr>
            <w:tcW w:type="dxa" w:w="2547"/>
            <w:shd w:val="clear" w:color="auto" w:fill="1F3A5F"/>
          </w:tcPr>
          <w:p>
            <w:pPr>
              <w:spacing w:after="0" w:before="0" w:line="240" w:lineRule="auto"/>
            </w:pPr>
            <w:r>
              <w:rPr>
                <w:b/>
                <w:color w:val="FFFFFF"/>
                <w:sz w:val="18"/>
              </w:rPr>
              <w:t>Month</w:t>
            </w:r>
          </w:p>
        </w:tc>
        <w:tc>
          <w:tcPr>
            <w:tcW w:type="dxa" w:w="2547"/>
            <w:shd w:val="clear" w:color="auto" w:fill="1F3A5F"/>
          </w:tcPr>
          <w:p>
            <w:pPr>
              <w:spacing w:after="0" w:before="0" w:line="240" w:lineRule="auto"/>
              <w:jc w:val="right"/>
            </w:pPr>
            <w:r>
              <w:rPr>
                <w:b/>
                <w:color w:val="FFFFFF"/>
                <w:sz w:val="18"/>
              </w:rPr>
              <w:t>Net PO value</w:t>
            </w:r>
          </w:p>
        </w:tc>
        <w:tc>
          <w:tcPr>
            <w:tcW w:type="dxa" w:w="1114"/>
            <w:shd w:val="clear" w:color="auto" w:fill="1F3A5F"/>
          </w:tcPr>
          <w:p>
            <w:pPr>
              <w:spacing w:after="0" w:before="0" w:line="240" w:lineRule="auto"/>
              <w:jc w:val="right"/>
            </w:pPr>
            <w:r>
              <w:rPr>
                <w:b/>
                <w:color w:val="FFFFFF"/>
                <w:sz w:val="18"/>
              </w:rPr>
              <w:t>POs</w:t>
            </w:r>
          </w:p>
        </w:tc>
        <w:tc>
          <w:tcPr>
            <w:tcW w:type="dxa" w:w="2865"/>
            <w:shd w:val="clear" w:color="auto" w:fill="1F3A5F"/>
          </w:tcPr>
          <w:p>
            <w:pPr>
              <w:spacing w:after="0" w:before="0" w:line="240" w:lineRule="auto"/>
              <w:jc w:val="right"/>
            </w:pPr>
            <w:r>
              <w:rPr>
                <w:b/>
                <w:color w:val="FFFFFF"/>
                <w:sz w:val="18"/>
              </w:rPr>
              <w:t>Avg value / PO</w:t>
            </w:r>
          </w:p>
        </w:tc>
      </w:tr>
      <w:tr>
        <w:trPr>
          <w:cantSplit/>
        </w:trPr>
        <w:tc>
          <w:tcPr>
            <w:tcW w:type="dxa" w:w="2547"/>
          </w:tcPr>
          <w:p>
            <w:pPr>
              <w:spacing w:after="0" w:before="0" w:line="240" w:lineRule="auto"/>
            </w:pPr>
            <w:r>
              <w:rPr>
                <w:sz w:val="18"/>
              </w:rPr>
              <w:t>Oct 2025</w:t>
            </w:r>
          </w:p>
        </w:tc>
        <w:tc>
          <w:tcPr>
            <w:tcW w:type="dxa" w:w="2547"/>
          </w:tcPr>
          <w:p>
            <w:pPr>
              <w:spacing w:after="0" w:before="0" w:line="240" w:lineRule="auto"/>
              <w:jc w:val="right"/>
            </w:pPr>
            <w:r>
              <w:rPr>
                <w:sz w:val="18"/>
              </w:rPr>
              <w:t>$866,571</w:t>
            </w:r>
          </w:p>
        </w:tc>
        <w:tc>
          <w:tcPr>
            <w:tcW w:type="dxa" w:w="1114"/>
          </w:tcPr>
          <w:p>
            <w:pPr>
              <w:spacing w:after="0" w:before="0" w:line="240" w:lineRule="auto"/>
              <w:jc w:val="right"/>
            </w:pPr>
            <w:r>
              <w:rPr>
                <w:sz w:val="18"/>
              </w:rPr>
              <w:t>336</w:t>
            </w:r>
          </w:p>
        </w:tc>
        <w:tc>
          <w:tcPr>
            <w:tcW w:type="dxa" w:w="2865"/>
          </w:tcPr>
          <w:p>
            <w:pPr>
              <w:spacing w:after="0" w:before="0" w:line="240" w:lineRule="auto"/>
              <w:jc w:val="right"/>
            </w:pPr>
            <w:r>
              <w:rPr>
                <w:sz w:val="18"/>
              </w:rPr>
              <w:t>$2,579</w:t>
            </w:r>
          </w:p>
        </w:tc>
      </w:tr>
      <w:tr>
        <w:trPr>
          <w:cantSplit/>
        </w:trPr>
        <w:tc>
          <w:tcPr>
            <w:tcW w:type="dxa" w:w="2547"/>
            <w:shd w:val="clear" w:color="auto" w:fill="F3F6FA"/>
          </w:tcPr>
          <w:p>
            <w:pPr>
              <w:spacing w:after="0" w:before="0" w:line="240" w:lineRule="auto"/>
            </w:pPr>
            <w:r>
              <w:rPr>
                <w:sz w:val="18"/>
              </w:rPr>
              <w:t>Nov 2025</w:t>
            </w:r>
          </w:p>
        </w:tc>
        <w:tc>
          <w:tcPr>
            <w:tcW w:type="dxa" w:w="2547"/>
            <w:shd w:val="clear" w:color="auto" w:fill="F3F6FA"/>
          </w:tcPr>
          <w:p>
            <w:pPr>
              <w:spacing w:after="0" w:before="0" w:line="240" w:lineRule="auto"/>
              <w:jc w:val="right"/>
            </w:pPr>
            <w:r>
              <w:rPr>
                <w:sz w:val="18"/>
              </w:rPr>
              <w:t>$226,758</w:t>
            </w:r>
          </w:p>
        </w:tc>
        <w:tc>
          <w:tcPr>
            <w:tcW w:type="dxa" w:w="1114"/>
            <w:shd w:val="clear" w:color="auto" w:fill="F3F6FA"/>
          </w:tcPr>
          <w:p>
            <w:pPr>
              <w:spacing w:after="0" w:before="0" w:line="240" w:lineRule="auto"/>
              <w:jc w:val="right"/>
            </w:pPr>
            <w:r>
              <w:rPr>
                <w:sz w:val="18"/>
              </w:rPr>
              <w:t>90</w:t>
            </w:r>
          </w:p>
        </w:tc>
        <w:tc>
          <w:tcPr>
            <w:tcW w:type="dxa" w:w="2865"/>
            <w:shd w:val="clear" w:color="auto" w:fill="F3F6FA"/>
          </w:tcPr>
          <w:p>
            <w:pPr>
              <w:spacing w:after="0" w:before="0" w:line="240" w:lineRule="auto"/>
              <w:jc w:val="right"/>
            </w:pPr>
            <w:r>
              <w:rPr>
                <w:sz w:val="18"/>
              </w:rPr>
              <w:t>$2,520</w:t>
            </w:r>
          </w:p>
        </w:tc>
      </w:tr>
      <w:tr>
        <w:trPr>
          <w:cantSplit/>
        </w:trPr>
        <w:tc>
          <w:tcPr>
            <w:tcW w:type="dxa" w:w="2547"/>
          </w:tcPr>
          <w:p>
            <w:pPr>
              <w:spacing w:after="0" w:before="0" w:line="240" w:lineRule="auto"/>
            </w:pPr>
            <w:r>
              <w:rPr>
                <w:sz w:val="18"/>
              </w:rPr>
              <w:t>Dec 2025</w:t>
            </w:r>
          </w:p>
        </w:tc>
        <w:tc>
          <w:tcPr>
            <w:tcW w:type="dxa" w:w="2547"/>
          </w:tcPr>
          <w:p>
            <w:pPr>
              <w:spacing w:after="0" w:before="0" w:line="240" w:lineRule="auto"/>
              <w:jc w:val="right"/>
            </w:pPr>
            <w:r>
              <w:rPr>
                <w:sz w:val="18"/>
              </w:rPr>
              <w:t>$289,926</w:t>
            </w:r>
          </w:p>
        </w:tc>
        <w:tc>
          <w:tcPr>
            <w:tcW w:type="dxa" w:w="1114"/>
          </w:tcPr>
          <w:p>
            <w:pPr>
              <w:spacing w:after="0" w:before="0" w:line="240" w:lineRule="auto"/>
              <w:jc w:val="right"/>
            </w:pPr>
            <w:r>
              <w:rPr>
                <w:sz w:val="18"/>
              </w:rPr>
              <w:t>92</w:t>
            </w:r>
          </w:p>
        </w:tc>
        <w:tc>
          <w:tcPr>
            <w:tcW w:type="dxa" w:w="2865"/>
          </w:tcPr>
          <w:p>
            <w:pPr>
              <w:spacing w:after="0" w:before="0" w:line="240" w:lineRule="auto"/>
              <w:jc w:val="right"/>
            </w:pPr>
            <w:r>
              <w:rPr>
                <w:sz w:val="18"/>
              </w:rPr>
              <w:t>$3,151</w:t>
            </w:r>
          </w:p>
        </w:tc>
      </w:tr>
      <w:tr>
        <w:trPr>
          <w:cantSplit/>
        </w:trPr>
        <w:tc>
          <w:tcPr>
            <w:tcW w:type="dxa" w:w="2547"/>
            <w:shd w:val="clear" w:color="auto" w:fill="F3F6FA"/>
          </w:tcPr>
          <w:p>
            <w:pPr>
              <w:spacing w:after="0" w:before="0" w:line="240" w:lineRule="auto"/>
            </w:pPr>
            <w:r>
              <w:rPr>
                <w:sz w:val="18"/>
              </w:rPr>
              <w:t>Jan–Feb 2026</w:t>
            </w:r>
          </w:p>
        </w:tc>
        <w:tc>
          <w:tcPr>
            <w:tcW w:type="dxa" w:w="2547"/>
            <w:shd w:val="clear" w:color="auto" w:fill="F3F6FA"/>
          </w:tcPr>
          <w:p>
            <w:pPr>
              <w:spacing w:after="0" w:before="0" w:line="240" w:lineRule="auto"/>
              <w:jc w:val="right"/>
            </w:pPr>
            <w:r>
              <w:rPr>
                <w:sz w:val="18"/>
              </w:rPr>
              <w:t>0</w:t>
            </w:r>
          </w:p>
        </w:tc>
        <w:tc>
          <w:tcPr>
            <w:tcW w:type="dxa" w:w="1114"/>
            <w:shd w:val="clear" w:color="auto" w:fill="F3F6FA"/>
          </w:tcPr>
          <w:p>
            <w:pPr>
              <w:spacing w:after="0" w:before="0" w:line="240" w:lineRule="auto"/>
              <w:jc w:val="right"/>
            </w:pPr>
            <w:r>
              <w:rPr>
                <w:sz w:val="18"/>
              </w:rPr>
              <w:t>0</w:t>
            </w:r>
          </w:p>
        </w:tc>
        <w:tc>
          <w:tcPr>
            <w:tcW w:type="dxa" w:w="2865"/>
            <w:shd w:val="clear" w:color="auto" w:fill="F3F6FA"/>
          </w:tcPr>
          <w:p>
            <w:pPr>
              <w:spacing w:after="0" w:before="0" w:line="240" w:lineRule="auto"/>
              <w:jc w:val="right"/>
            </w:pPr>
            <w:r>
              <w:rPr>
                <w:sz w:val="18"/>
              </w:rPr>
              <w:t>–</w:t>
            </w:r>
          </w:p>
        </w:tc>
      </w:tr>
      <w:tr>
        <w:trPr>
          <w:cantSplit/>
        </w:trPr>
        <w:tc>
          <w:tcPr>
            <w:tcW w:type="dxa" w:w="2547"/>
          </w:tcPr>
          <w:p>
            <w:pPr>
              <w:spacing w:after="0" w:before="0" w:line="240" w:lineRule="auto"/>
            </w:pPr>
            <w:r>
              <w:rPr>
                <w:sz w:val="18"/>
              </w:rPr>
              <w:t>Mar 2026</w:t>
            </w:r>
          </w:p>
        </w:tc>
        <w:tc>
          <w:tcPr>
            <w:tcW w:type="dxa" w:w="2547"/>
          </w:tcPr>
          <w:p>
            <w:pPr>
              <w:spacing w:after="0" w:before="0" w:line="240" w:lineRule="auto"/>
              <w:jc w:val="right"/>
            </w:pPr>
            <w:r>
              <w:rPr>
                <w:sz w:val="18"/>
              </w:rPr>
              <w:t>$3,500</w:t>
            </w:r>
          </w:p>
        </w:tc>
        <w:tc>
          <w:tcPr>
            <w:tcW w:type="dxa" w:w="1114"/>
          </w:tcPr>
          <w:p>
            <w:pPr>
              <w:spacing w:after="0" w:before="0" w:line="240" w:lineRule="auto"/>
              <w:jc w:val="right"/>
            </w:pPr>
            <w:r>
              <w:rPr>
                <w:sz w:val="18"/>
              </w:rPr>
              <w:t>1</w:t>
            </w:r>
          </w:p>
        </w:tc>
        <w:tc>
          <w:tcPr>
            <w:tcW w:type="dxa" w:w="2865"/>
          </w:tcPr>
          <w:p>
            <w:pPr>
              <w:spacing w:after="0" w:before="0" w:line="240" w:lineRule="auto"/>
              <w:jc w:val="right"/>
            </w:pPr>
            <w:r>
              <w:rPr>
                <w:sz w:val="18"/>
              </w:rPr>
              <w:t>$3,500</w:t>
            </w:r>
          </w:p>
        </w:tc>
      </w:tr>
      <w:tr>
        <w:trPr>
          <w:cantSplit/>
        </w:trPr>
        <w:tc>
          <w:tcPr>
            <w:tcW w:type="dxa" w:w="2547"/>
            <w:shd w:val="clear" w:color="auto" w:fill="F3F6FA"/>
          </w:tcPr>
          <w:p>
            <w:pPr>
              <w:spacing w:after="0" w:before="0" w:line="240" w:lineRule="auto"/>
            </w:pPr>
            <w:r>
              <w:rPr>
                <w:sz w:val="18"/>
              </w:rPr>
              <w:t>Apr 2026</w:t>
            </w:r>
          </w:p>
        </w:tc>
        <w:tc>
          <w:tcPr>
            <w:tcW w:type="dxa" w:w="2547"/>
            <w:shd w:val="clear" w:color="auto" w:fill="F3F6FA"/>
          </w:tcPr>
          <w:p>
            <w:pPr>
              <w:spacing w:after="0" w:before="0" w:line="240" w:lineRule="auto"/>
              <w:jc w:val="right"/>
            </w:pPr>
            <w:r>
              <w:rPr>
                <w:sz w:val="18"/>
              </w:rPr>
              <w:t>$576,520</w:t>
            </w:r>
          </w:p>
        </w:tc>
        <w:tc>
          <w:tcPr>
            <w:tcW w:type="dxa" w:w="1114"/>
            <w:shd w:val="clear" w:color="auto" w:fill="F3F6FA"/>
          </w:tcPr>
          <w:p>
            <w:pPr>
              <w:spacing w:after="0" w:before="0" w:line="240" w:lineRule="auto"/>
              <w:jc w:val="right"/>
            </w:pPr>
            <w:r>
              <w:rPr>
                <w:sz w:val="18"/>
              </w:rPr>
              <w:t>115</w:t>
            </w:r>
          </w:p>
        </w:tc>
        <w:tc>
          <w:tcPr>
            <w:tcW w:type="dxa" w:w="2865"/>
            <w:shd w:val="clear" w:color="auto" w:fill="F3F6FA"/>
          </w:tcPr>
          <w:p>
            <w:pPr>
              <w:spacing w:after="0" w:before="0" w:line="240" w:lineRule="auto"/>
              <w:jc w:val="right"/>
            </w:pPr>
            <w:r>
              <w:rPr>
                <w:sz w:val="18"/>
              </w:rPr>
              <w:t>$5,013</w:t>
            </w:r>
          </w:p>
        </w:tc>
      </w:tr>
      <w:tr>
        <w:trPr>
          <w:cantSplit/>
        </w:trPr>
        <w:tc>
          <w:tcPr>
            <w:tcW w:type="dxa" w:w="2547"/>
          </w:tcPr>
          <w:p>
            <w:pPr>
              <w:spacing w:after="0" w:before="0" w:line="240" w:lineRule="auto"/>
            </w:pPr>
            <w:r>
              <w:rPr>
                <w:sz w:val="18"/>
              </w:rPr>
              <w:t>May 2026</w:t>
            </w:r>
          </w:p>
        </w:tc>
        <w:tc>
          <w:tcPr>
            <w:tcW w:type="dxa" w:w="2547"/>
          </w:tcPr>
          <w:p>
            <w:pPr>
              <w:spacing w:after="0" w:before="0" w:line="240" w:lineRule="auto"/>
              <w:jc w:val="right"/>
            </w:pPr>
            <w:r>
              <w:rPr>
                <w:sz w:val="18"/>
              </w:rPr>
              <w:t>$1,086,396</w:t>
            </w:r>
          </w:p>
        </w:tc>
        <w:tc>
          <w:tcPr>
            <w:tcW w:type="dxa" w:w="1114"/>
          </w:tcPr>
          <w:p>
            <w:pPr>
              <w:spacing w:after="0" w:before="0" w:line="240" w:lineRule="auto"/>
              <w:jc w:val="right"/>
            </w:pPr>
            <w:r>
              <w:rPr>
                <w:sz w:val="18"/>
              </w:rPr>
              <w:t>123</w:t>
            </w:r>
          </w:p>
        </w:tc>
        <w:tc>
          <w:tcPr>
            <w:tcW w:type="dxa" w:w="2865"/>
          </w:tcPr>
          <w:p>
            <w:pPr>
              <w:spacing w:after="0" w:before="0" w:line="240" w:lineRule="auto"/>
              <w:jc w:val="right"/>
            </w:pPr>
            <w:r>
              <w:rPr>
                <w:sz w:val="18"/>
              </w:rPr>
              <w:t>$8,832</w:t>
            </w:r>
          </w:p>
        </w:tc>
      </w:tr>
      <w:tr>
        <w:trPr>
          <w:cantSplit/>
        </w:trPr>
        <w:tc>
          <w:tcPr>
            <w:tcW w:type="dxa" w:w="2547"/>
            <w:shd w:val="clear" w:color="auto" w:fill="F3F6FA"/>
          </w:tcPr>
          <w:p>
            <w:pPr>
              <w:spacing w:after="0" w:before="0" w:line="240" w:lineRule="auto"/>
            </w:pPr>
            <w:r>
              <w:rPr>
                <w:sz w:val="18"/>
              </w:rPr>
              <w:t>Jun–Aug 2026</w:t>
            </w:r>
          </w:p>
        </w:tc>
        <w:tc>
          <w:tcPr>
            <w:tcW w:type="dxa" w:w="2547"/>
            <w:shd w:val="clear" w:color="auto" w:fill="F3F6FA"/>
          </w:tcPr>
          <w:p>
            <w:pPr>
              <w:spacing w:after="0" w:before="0" w:line="240" w:lineRule="auto"/>
              <w:jc w:val="right"/>
            </w:pPr>
            <w:r>
              <w:rPr>
                <w:sz w:val="18"/>
              </w:rPr>
              <w:t>0</w:t>
            </w:r>
          </w:p>
        </w:tc>
        <w:tc>
          <w:tcPr>
            <w:tcW w:type="dxa" w:w="1114"/>
            <w:shd w:val="clear" w:color="auto" w:fill="F3F6FA"/>
          </w:tcPr>
          <w:p>
            <w:pPr>
              <w:spacing w:after="0" w:before="0" w:line="240" w:lineRule="auto"/>
              <w:jc w:val="right"/>
            </w:pPr>
            <w:r>
              <w:rPr>
                <w:sz w:val="18"/>
              </w:rPr>
              <w:t>0</w:t>
            </w:r>
          </w:p>
        </w:tc>
        <w:tc>
          <w:tcPr>
            <w:tcW w:type="dxa" w:w="2865"/>
            <w:shd w:val="clear" w:color="auto" w:fill="F3F6FA"/>
          </w:tcPr>
          <w:p>
            <w:pPr>
              <w:spacing w:after="0" w:before="0" w:line="240" w:lineRule="auto"/>
              <w:jc w:val="right"/>
            </w:pPr>
            <w:r>
              <w:rPr>
                <w:sz w:val="18"/>
              </w:rPr>
              <w:t>–</w:t>
            </w:r>
          </w:p>
        </w:tc>
      </w:tr>
      <w:tr>
        <w:trPr>
          <w:cantSplit/>
        </w:trPr>
        <w:tc>
          <w:tcPr>
            <w:tcW w:type="dxa" w:w="2547"/>
          </w:tcPr>
          <w:p>
            <w:pPr>
              <w:spacing w:after="0" w:before="0" w:line="240" w:lineRule="auto"/>
            </w:pPr>
            <w:r>
              <w:rPr>
                <w:sz w:val="18"/>
              </w:rPr>
              <w:t>Sep 2026</w:t>
            </w:r>
          </w:p>
        </w:tc>
        <w:tc>
          <w:tcPr>
            <w:tcW w:type="dxa" w:w="2547"/>
          </w:tcPr>
          <w:p>
            <w:pPr>
              <w:spacing w:after="0" w:before="0" w:line="240" w:lineRule="auto"/>
              <w:jc w:val="right"/>
            </w:pPr>
            <w:r>
              <w:rPr>
                <w:sz w:val="18"/>
              </w:rPr>
              <w:t>$6,400</w:t>
            </w:r>
          </w:p>
        </w:tc>
        <w:tc>
          <w:tcPr>
            <w:tcW w:type="dxa" w:w="1114"/>
          </w:tcPr>
          <w:p>
            <w:pPr>
              <w:spacing w:after="0" w:before="0" w:line="240" w:lineRule="auto"/>
              <w:jc w:val="right"/>
            </w:pPr>
            <w:r>
              <w:rPr>
                <w:sz w:val="18"/>
              </w:rPr>
              <w:t>1</w:t>
            </w:r>
          </w:p>
        </w:tc>
        <w:tc>
          <w:tcPr>
            <w:tcW w:type="dxa" w:w="2865"/>
          </w:tcPr>
          <w:p>
            <w:pPr>
              <w:spacing w:after="0" w:before="0" w:line="240" w:lineRule="auto"/>
              <w:jc w:val="right"/>
            </w:pPr>
            <w:r>
              <w:rPr>
                <w:sz w:val="18"/>
              </w:rPr>
              <w:t>$6,400</w:t>
            </w:r>
          </w:p>
        </w:tc>
      </w:tr>
    </w:tbl>
    <w:p>
      <w:pPr>
        <w:spacing w:after="40"/>
      </w:pPr>
    </w:p>
    <w:p>
      <w:r>
        <w:t xml:space="preserve">Mean $254,673 per month vs median $4,950. </w:t>
      </w:r>
      <w:r>
        <w:rPr>
          <w:b/>
        </w:rPr>
        <w:t>Coefficient of variation 1.51</w:t>
      </w:r>
      <w:r>
        <w:t xml:space="preserve"> (0.96 over the 7 active months). </w:t>
      </w:r>
      <w:r>
        <w:rPr>
          <w:b/>
        </w:rPr>
        <w:t>5 of 12 months have no POs.</w:t>
      </w:r>
    </w:p>
    <w:p>
      <w:r>
        <w:rPr>
          <w:b/>
        </w:rPr>
        <w:t>Finding.</w:t>
      </w:r>
      <w:r>
        <w:t xml:space="preserve"> Purchasing is very bursty. Two activity peaks, Oct 2025 and Apr–May 2026, account for 83% of the year's value. The May peak comes from larger POs (average $8.8k) rather than more POs.</w:t>
      </w:r>
    </w:p>
    <w:p>
      <w:r>
        <w:rPr>
          <w:b/>
        </w:rPr>
        <w:t>Decision.</w:t>
      </w:r>
      <w:r>
        <w:t xml:space="preserve"> If this pattern reflected real demand, Antonio should bundle peak-period demand into framework contracts and agree capacity with key suppliers </w:t>
      </w:r>
      <w:r>
        <w:rPr>
          <w:i/>
        </w:rPr>
        <w:t>before</w:t>
      </w:r>
      <w:r>
        <w:t xml:space="preserve"> the peaks.</w:t>
      </w:r>
    </w:p>
    <w:p>
      <w:pPr>
        <w:pStyle w:val="Heading3"/>
      </w:pPr>
      <w:r>
        <w:t>Q7. Unit price development of the five highest-value materials</w:t>
      </w:r>
    </w:p>
    <w:p>
      <w:pPr>
        <w:keepNext/>
        <w:spacing w:after="40"/>
        <w:jc w:val="center"/>
      </w:pPr>
      <w:r>
        <w:drawing>
          <wp:inline xmlns:a="http://schemas.openxmlformats.org/drawingml/2006/main" xmlns:pic="http://schemas.openxmlformats.org/drawingml/2006/picture">
            <wp:extent cx="5760720" cy="2681383"/>
            <wp:docPr id="11" name="Picture 11"/>
            <wp:cNvGraphicFramePr>
              <a:graphicFrameLocks noChangeAspect="1"/>
            </wp:cNvGraphicFramePr>
            <a:graphic>
              <a:graphicData uri="http://schemas.openxmlformats.org/drawingml/2006/picture">
                <pic:pic>
                  <pic:nvPicPr>
                    <pic:cNvPr id="0" name="q7_fixed_base_index.png"/>
                    <pic:cNvPicPr/>
                  </pic:nvPicPr>
                  <pic:blipFill>
                    <a:blip r:embed="rId21"/>
                    <a:stretch>
                      <a:fillRect/>
                    </a:stretch>
                  </pic:blipFill>
                  <pic:spPr>
                    <a:xfrm>
                      <a:off x="0" y="0"/>
                      <a:ext cx="5760720" cy="2681383"/>
                    </a:xfrm>
                    <a:prstGeom prst="rect"/>
                  </pic:spPr>
                </pic:pic>
              </a:graphicData>
            </a:graphic>
          </wp:inline>
        </w:drawing>
      </w:r>
    </w:p>
    <w:p>
      <w:pPr>
        <w:spacing w:after="200"/>
        <w:jc w:val="center"/>
      </w:pPr>
      <w:r>
        <w:rPr>
          <w:i/>
          <w:color w:val="52514E"/>
          <w:sz w:val="17"/>
        </w:rPr>
        <w:t>Figure 11. Fixed-base index</w:t>
      </w:r>
    </w:p>
    <w:p>
      <w:pPr>
        <w:keepNext/>
        <w:spacing w:after="40"/>
        <w:jc w:val="center"/>
      </w:pPr>
      <w:r>
        <w:drawing>
          <wp:inline xmlns:a="http://schemas.openxmlformats.org/drawingml/2006/main" xmlns:pic="http://schemas.openxmlformats.org/drawingml/2006/picture">
            <wp:extent cx="5760720" cy="2757581"/>
            <wp:docPr id="12" name="Picture 12"/>
            <wp:cNvGraphicFramePr>
              <a:graphicFrameLocks noChangeAspect="1"/>
            </wp:cNvGraphicFramePr>
            <a:graphic>
              <a:graphicData uri="http://schemas.openxmlformats.org/drawingml/2006/picture">
                <pic:pic>
                  <pic:nvPicPr>
                    <pic:cNvPr id="0" name="q7_chain_index.png"/>
                    <pic:cNvPicPr/>
                  </pic:nvPicPr>
                  <pic:blipFill>
                    <a:blip r:embed="rId22"/>
                    <a:stretch>
                      <a:fillRect/>
                    </a:stretch>
                  </pic:blipFill>
                  <pic:spPr>
                    <a:xfrm>
                      <a:off x="0" y="0"/>
                      <a:ext cx="5760720" cy="2757581"/>
                    </a:xfrm>
                    <a:prstGeom prst="rect"/>
                  </pic:spPr>
                </pic:pic>
              </a:graphicData>
            </a:graphic>
          </wp:inline>
        </w:drawing>
      </w:r>
    </w:p>
    <w:p>
      <w:pPr>
        <w:spacing w:after="200"/>
        <w:jc w:val="center"/>
      </w:pPr>
      <w:r>
        <w:rPr>
          <w:i/>
          <w:color w:val="52514E"/>
          <w:sz w:val="17"/>
        </w:rPr>
        <w:t>Figure 12. Chain index</w:t>
      </w:r>
    </w:p>
    <w:p>
      <w:pPr>
        <w:keepNext/>
        <w:spacing w:after="40"/>
        <w:jc w:val="center"/>
      </w:pPr>
      <w:r>
        <w:drawing>
          <wp:inline xmlns:a="http://schemas.openxmlformats.org/drawingml/2006/main" xmlns:pic="http://schemas.openxmlformats.org/drawingml/2006/picture">
            <wp:extent cx="5760720" cy="1152144"/>
            <wp:docPr id="13" name="Picture 13"/>
            <wp:cNvGraphicFramePr>
              <a:graphicFrameLocks noChangeAspect="1"/>
            </wp:cNvGraphicFramePr>
            <a:graphic>
              <a:graphicData uri="http://schemas.openxmlformats.org/drawingml/2006/picture">
                <pic:pic>
                  <pic:nvPicPr>
                    <pic:cNvPr id="0" name="q7_unit_price.png"/>
                    <pic:cNvPicPr/>
                  </pic:nvPicPr>
                  <pic:blipFill>
                    <a:blip r:embed="rId23"/>
                    <a:stretch>
                      <a:fillRect/>
                    </a:stretch>
                  </pic:blipFill>
                  <pic:spPr>
                    <a:xfrm>
                      <a:off x="0" y="0"/>
                      <a:ext cx="5760720" cy="1152144"/>
                    </a:xfrm>
                    <a:prstGeom prst="rect"/>
                  </pic:spPr>
                </pic:pic>
              </a:graphicData>
            </a:graphic>
          </wp:inline>
        </w:drawing>
      </w:r>
    </w:p>
    <w:p>
      <w:pPr>
        <w:spacing w:after="200"/>
        <w:jc w:val="center"/>
      </w:pPr>
      <w:r>
        <w:rPr>
          <w:i/>
          <w:color w:val="52514E"/>
          <w:sz w:val="17"/>
        </w:rPr>
        <w:t>Figure 13. Average unit price</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1882"/>
        <w:gridCol w:w="1882"/>
        <w:gridCol w:w="1882"/>
        <w:gridCol w:w="1882"/>
        <w:gridCol w:w="1882"/>
      </w:tblGrid>
      <w:tr>
        <w:trPr>
          <w:cantSplit/>
          <w:tblHeader/>
        </w:trPr>
        <w:tc>
          <w:tcPr>
            <w:tcW w:type="dxa" w:w="2144"/>
            <w:shd w:val="clear" w:color="auto" w:fill="1F3A5F"/>
          </w:tcPr>
          <w:p>
            <w:pPr>
              <w:spacing w:after="0" w:before="0" w:line="240" w:lineRule="auto"/>
            </w:pPr>
            <w:r>
              <w:rPr>
                <w:b/>
                <w:color w:val="FFFFFF"/>
                <w:sz w:val="18"/>
              </w:rPr>
              <w:t>Product family (unit)</w:t>
            </w:r>
          </w:p>
        </w:tc>
        <w:tc>
          <w:tcPr>
            <w:tcW w:type="dxa" w:w="2062"/>
            <w:shd w:val="clear" w:color="auto" w:fill="1F3A5F"/>
          </w:tcPr>
          <w:p>
            <w:pPr>
              <w:spacing w:after="0" w:before="0" w:line="240" w:lineRule="auto"/>
              <w:jc w:val="right"/>
            </w:pPr>
            <w:r>
              <w:rPr>
                <w:b/>
                <w:color w:val="FFFFFF"/>
                <w:sz w:val="18"/>
              </w:rPr>
              <w:t>Months with purchases</w:t>
            </w:r>
          </w:p>
        </w:tc>
        <w:tc>
          <w:tcPr>
            <w:tcW w:type="dxa" w:w="1979"/>
            <w:shd w:val="clear" w:color="auto" w:fill="1F3A5F"/>
          </w:tcPr>
          <w:p>
            <w:pPr>
              <w:spacing w:after="0" w:before="0" w:line="240" w:lineRule="auto"/>
            </w:pPr>
            <w:r>
              <w:rPr>
                <w:b/>
                <w:color w:val="FFFFFF"/>
                <w:sz w:val="18"/>
              </w:rPr>
              <w:t>Avg unit price range</w:t>
            </w:r>
          </w:p>
        </w:tc>
        <w:tc>
          <w:tcPr>
            <w:tcW w:type="dxa" w:w="1649"/>
            <w:shd w:val="clear" w:color="auto" w:fill="1F3A5F"/>
          </w:tcPr>
          <w:p>
            <w:pPr>
              <w:spacing w:after="0" w:before="0" w:line="240" w:lineRule="auto"/>
            </w:pPr>
            <w:r>
              <w:rPr>
                <w:b/>
                <w:color w:val="FFFFFF"/>
                <w:sz w:val="18"/>
              </w:rPr>
              <w:t>Fixed-base index</w:t>
            </w:r>
          </w:p>
        </w:tc>
        <w:tc>
          <w:tcPr>
            <w:tcW w:type="dxa" w:w="1237"/>
            <w:shd w:val="clear" w:color="auto" w:fill="1F3A5F"/>
          </w:tcPr>
          <w:p>
            <w:pPr>
              <w:spacing w:after="0" w:before="0" w:line="240" w:lineRule="auto"/>
            </w:pPr>
            <w:r>
              <w:rPr>
                <w:b/>
                <w:color w:val="FFFFFF"/>
                <w:sz w:val="18"/>
              </w:rPr>
              <w:t>Chain index</w:t>
            </w:r>
          </w:p>
        </w:tc>
      </w:tr>
      <w:tr>
        <w:trPr>
          <w:cantSplit/>
        </w:trPr>
        <w:tc>
          <w:tcPr>
            <w:tcW w:type="dxa" w:w="2144"/>
          </w:tcPr>
          <w:p>
            <w:pPr>
              <w:spacing w:after="0" w:before="0" w:line="240" w:lineRule="auto"/>
            </w:pPr>
            <w:r>
              <w:rPr>
                <w:b/>
                <w:sz w:val="18"/>
              </w:rPr>
              <w:t>Chain lock (EA)</w:t>
            </w:r>
          </w:p>
        </w:tc>
        <w:tc>
          <w:tcPr>
            <w:tcW w:type="dxa" w:w="2062"/>
          </w:tcPr>
          <w:p>
            <w:pPr>
              <w:spacing w:after="0" w:before="0" w:line="240" w:lineRule="auto"/>
              <w:jc w:val="right"/>
            </w:pPr>
            <w:r>
              <w:rPr>
                <w:sz w:val="18"/>
              </w:rPr>
              <w:t>7</w:t>
            </w:r>
          </w:p>
        </w:tc>
        <w:tc>
          <w:tcPr>
            <w:tcW w:type="dxa" w:w="1979"/>
          </w:tcPr>
          <w:p>
            <w:pPr>
              <w:spacing w:after="0" w:before="0" w:line="240" w:lineRule="auto"/>
            </w:pPr>
            <w:r>
              <w:rPr>
                <w:b/>
                <w:sz w:val="18"/>
              </w:rPr>
              <w:t>$32.00–35.00</w:t>
            </w:r>
          </w:p>
        </w:tc>
        <w:tc>
          <w:tcPr>
            <w:tcW w:type="dxa" w:w="1649"/>
          </w:tcPr>
          <w:p>
            <w:pPr>
              <w:spacing w:after="0" w:before="0" w:line="240" w:lineRule="auto"/>
            </w:pPr>
            <w:r>
              <w:rPr>
                <w:sz w:val="18"/>
              </w:rPr>
              <w:t>98.5–107.7</w:t>
            </w:r>
          </w:p>
        </w:tc>
        <w:tc>
          <w:tcPr>
            <w:tcW w:type="dxa" w:w="1237"/>
          </w:tcPr>
          <w:p>
            <w:pPr>
              <w:spacing w:after="0" w:before="0" w:line="240" w:lineRule="auto"/>
            </w:pPr>
            <w:r>
              <w:rPr>
                <w:sz w:val="18"/>
              </w:rPr>
              <w:t>94.4–104.4</w:t>
            </w:r>
          </w:p>
        </w:tc>
      </w:tr>
      <w:tr>
        <w:trPr>
          <w:cantSplit/>
        </w:trPr>
        <w:tc>
          <w:tcPr>
            <w:tcW w:type="dxa" w:w="2144"/>
            <w:shd w:val="clear" w:color="auto" w:fill="F3F6FA"/>
          </w:tcPr>
          <w:p>
            <w:pPr>
              <w:spacing w:after="0" w:before="0" w:line="240" w:lineRule="auto"/>
            </w:pPr>
            <w:r>
              <w:rPr>
                <w:sz w:val="18"/>
              </w:rPr>
              <w:t>Spelt flour (KG)</w:t>
            </w:r>
          </w:p>
        </w:tc>
        <w:tc>
          <w:tcPr>
            <w:tcW w:type="dxa" w:w="2062"/>
            <w:shd w:val="clear" w:color="auto" w:fill="F3F6FA"/>
          </w:tcPr>
          <w:p>
            <w:pPr>
              <w:spacing w:after="0" w:before="0" w:line="240" w:lineRule="auto"/>
              <w:jc w:val="right"/>
            </w:pPr>
            <w:r>
              <w:rPr>
                <w:sz w:val="18"/>
              </w:rPr>
              <w:t>4</w:t>
            </w:r>
          </w:p>
        </w:tc>
        <w:tc>
          <w:tcPr>
            <w:tcW w:type="dxa" w:w="1979"/>
            <w:shd w:val="clear" w:color="auto" w:fill="F3F6FA"/>
          </w:tcPr>
          <w:p>
            <w:pPr>
              <w:spacing w:after="0" w:before="0" w:line="240" w:lineRule="auto"/>
            </w:pPr>
            <w:r>
              <w:rPr>
                <w:sz w:val="18"/>
              </w:rPr>
              <w:t>$2.00–287.86</w:t>
            </w:r>
          </w:p>
        </w:tc>
        <w:tc>
          <w:tcPr>
            <w:tcW w:type="dxa" w:w="1649"/>
            <w:shd w:val="clear" w:color="auto" w:fill="F3F6FA"/>
          </w:tcPr>
          <w:p>
            <w:pPr>
              <w:spacing w:after="0" w:before="0" w:line="240" w:lineRule="auto"/>
            </w:pPr>
            <w:r>
              <w:rPr>
                <w:sz w:val="18"/>
              </w:rPr>
              <w:t>15–2,153</w:t>
            </w:r>
          </w:p>
        </w:tc>
        <w:tc>
          <w:tcPr>
            <w:tcW w:type="dxa" w:w="1237"/>
            <w:shd w:val="clear" w:color="auto" w:fill="F3F6FA"/>
          </w:tcPr>
          <w:p>
            <w:pPr>
              <w:spacing w:after="0" w:before="0" w:line="240" w:lineRule="auto"/>
            </w:pPr>
            <w:r>
              <w:rPr>
                <w:sz w:val="18"/>
              </w:rPr>
              <w:t>16.9–14,393</w:t>
            </w:r>
          </w:p>
        </w:tc>
      </w:tr>
      <w:tr>
        <w:trPr>
          <w:cantSplit/>
        </w:trPr>
        <w:tc>
          <w:tcPr>
            <w:tcW w:type="dxa" w:w="2144"/>
          </w:tcPr>
          <w:p>
            <w:pPr>
              <w:spacing w:after="0" w:before="0" w:line="240" w:lineRule="auto"/>
            </w:pPr>
            <w:r>
              <w:rPr>
                <w:sz w:val="18"/>
              </w:rPr>
              <w:t>Water bottle (EA)</w:t>
            </w:r>
          </w:p>
        </w:tc>
        <w:tc>
          <w:tcPr>
            <w:tcW w:type="dxa" w:w="2062"/>
          </w:tcPr>
          <w:p>
            <w:pPr>
              <w:spacing w:after="0" w:before="0" w:line="240" w:lineRule="auto"/>
              <w:jc w:val="right"/>
            </w:pPr>
            <w:r>
              <w:rPr>
                <w:sz w:val="18"/>
              </w:rPr>
              <w:t>4</w:t>
            </w:r>
          </w:p>
        </w:tc>
        <w:tc>
          <w:tcPr>
            <w:tcW w:type="dxa" w:w="1979"/>
          </w:tcPr>
          <w:p>
            <w:pPr>
              <w:spacing w:after="0" w:before="0" w:line="240" w:lineRule="auto"/>
            </w:pPr>
            <w:r>
              <w:rPr>
                <w:sz w:val="18"/>
              </w:rPr>
              <w:t>$9.53–51.07</w:t>
            </w:r>
          </w:p>
        </w:tc>
        <w:tc>
          <w:tcPr>
            <w:tcW w:type="dxa" w:w="1649"/>
          </w:tcPr>
          <w:p>
            <w:pPr>
              <w:spacing w:after="0" w:before="0" w:line="240" w:lineRule="auto"/>
            </w:pPr>
            <w:r>
              <w:rPr>
                <w:sz w:val="18"/>
              </w:rPr>
              <w:t>100–536</w:t>
            </w:r>
          </w:p>
        </w:tc>
        <w:tc>
          <w:tcPr>
            <w:tcW w:type="dxa" w:w="1237"/>
          </w:tcPr>
          <w:p>
            <w:pPr>
              <w:spacing w:after="0" w:before="0" w:line="240" w:lineRule="auto"/>
            </w:pPr>
            <w:r>
              <w:rPr>
                <w:sz w:val="18"/>
              </w:rPr>
              <w:t>19.6–340.5</w:t>
            </w:r>
          </w:p>
        </w:tc>
      </w:tr>
      <w:tr>
        <w:trPr>
          <w:cantSplit/>
        </w:trPr>
        <w:tc>
          <w:tcPr>
            <w:tcW w:type="dxa" w:w="2144"/>
            <w:shd w:val="clear" w:color="auto" w:fill="F3F6FA"/>
          </w:tcPr>
          <w:p>
            <w:pPr>
              <w:spacing w:after="0" w:before="0" w:line="240" w:lineRule="auto"/>
            </w:pPr>
            <w:r>
              <w:rPr>
                <w:sz w:val="18"/>
              </w:rPr>
              <w:t>Touring bike (EA)</w:t>
            </w:r>
          </w:p>
        </w:tc>
        <w:tc>
          <w:tcPr>
            <w:tcW w:type="dxa" w:w="2062"/>
            <w:shd w:val="clear" w:color="auto" w:fill="F3F6FA"/>
          </w:tcPr>
          <w:p>
            <w:pPr>
              <w:spacing w:after="0" w:before="0" w:line="240" w:lineRule="auto"/>
              <w:jc w:val="right"/>
            </w:pPr>
            <w:r>
              <w:rPr>
                <w:sz w:val="18"/>
              </w:rPr>
              <w:t>2</w:t>
            </w:r>
          </w:p>
        </w:tc>
        <w:tc>
          <w:tcPr>
            <w:tcW w:type="dxa" w:w="1979"/>
            <w:shd w:val="clear" w:color="auto" w:fill="F3F6FA"/>
          </w:tcPr>
          <w:p>
            <w:pPr>
              <w:spacing w:after="0" w:before="0" w:line="240" w:lineRule="auto"/>
            </w:pPr>
            <w:r>
              <w:rPr>
                <w:sz w:val="18"/>
              </w:rPr>
              <w:t>$15.00–437.50</w:t>
            </w:r>
          </w:p>
        </w:tc>
        <w:tc>
          <w:tcPr>
            <w:tcW w:type="dxa" w:w="1649"/>
            <w:shd w:val="clear" w:color="auto" w:fill="F3F6FA"/>
          </w:tcPr>
          <w:p>
            <w:pPr>
              <w:spacing w:after="0" w:before="0" w:line="240" w:lineRule="auto"/>
            </w:pPr>
            <w:r>
              <w:rPr>
                <w:sz w:val="18"/>
              </w:rPr>
              <w:t>100–2,917</w:t>
            </w:r>
          </w:p>
        </w:tc>
        <w:tc>
          <w:tcPr>
            <w:tcW w:type="dxa" w:w="1237"/>
            <w:shd w:val="clear" w:color="auto" w:fill="F3F6FA"/>
          </w:tcPr>
          <w:p>
            <w:pPr>
              <w:spacing w:after="0" w:before="0" w:line="240" w:lineRule="auto"/>
            </w:pPr>
            <w:r>
              <w:rPr>
                <w:sz w:val="18"/>
              </w:rPr>
              <w:t>2,917</w:t>
            </w:r>
          </w:p>
        </w:tc>
      </w:tr>
      <w:tr>
        <w:trPr>
          <w:cantSplit/>
        </w:trPr>
        <w:tc>
          <w:tcPr>
            <w:tcW w:type="dxa" w:w="2144"/>
          </w:tcPr>
          <w:p>
            <w:pPr>
              <w:spacing w:after="0" w:before="0" w:line="240" w:lineRule="auto"/>
            </w:pPr>
            <w:r>
              <w:rPr>
                <w:sz w:val="18"/>
              </w:rPr>
              <w:t>Water bottle cage (EA)</w:t>
            </w:r>
          </w:p>
        </w:tc>
        <w:tc>
          <w:tcPr>
            <w:tcW w:type="dxa" w:w="2062"/>
          </w:tcPr>
          <w:p>
            <w:pPr>
              <w:spacing w:after="0" w:before="0" w:line="240" w:lineRule="auto"/>
              <w:jc w:val="right"/>
            </w:pPr>
            <w:r>
              <w:rPr>
                <w:sz w:val="18"/>
              </w:rPr>
              <w:t>1</w:t>
            </w:r>
          </w:p>
        </w:tc>
        <w:tc>
          <w:tcPr>
            <w:tcW w:type="dxa" w:w="1979"/>
          </w:tcPr>
          <w:p>
            <w:pPr>
              <w:spacing w:after="0" w:before="0" w:line="240" w:lineRule="auto"/>
            </w:pPr>
            <w:r>
              <w:rPr>
                <w:sz w:val="18"/>
              </w:rPr>
              <w:t>$9.00</w:t>
            </w:r>
          </w:p>
        </w:tc>
        <w:tc>
          <w:tcPr>
            <w:tcW w:type="dxa" w:w="1649"/>
          </w:tcPr>
          <w:p>
            <w:pPr>
              <w:spacing w:after="0" w:before="0" w:line="240" w:lineRule="auto"/>
            </w:pPr>
            <w:r>
              <w:rPr>
                <w:sz w:val="18"/>
              </w:rPr>
              <w:t>100</w:t>
            </w:r>
          </w:p>
        </w:tc>
        <w:tc>
          <w:tcPr>
            <w:tcW w:type="dxa" w:w="1237"/>
          </w:tcPr>
          <w:p>
            <w:pPr>
              <w:spacing w:after="0" w:before="0" w:line="240" w:lineRule="auto"/>
            </w:pPr>
            <w:r>
              <w:rPr>
                <w:sz w:val="18"/>
              </w:rPr>
              <w:t>–</w:t>
            </w:r>
          </w:p>
        </w:tc>
      </w:tr>
    </w:tbl>
    <w:p>
      <w:pPr>
        <w:spacing w:after="40"/>
      </w:pPr>
    </w:p>
    <w:p>
      <w:r>
        <w:t>The fixed-base index uses the first month with purchases = 100. The chain index compares each month with the previous month that had purchases (= 100). The unit price is quantity-weighted (Σ value / Σ quantity).</w:t>
      </w:r>
    </w:p>
    <w:p>
      <w:r>
        <w:rPr>
          <w:b/>
        </w:rPr>
        <w:t>Finding.</w:t>
      </w:r>
      <w:r>
        <w:t xml:space="preserve"> Chain locks, the largest spend item at 65% of value, have a stable price around $32–34 per unit, varying within ±8% of the base. The other families jump by orders of magnitude because a few exercise items carry made-up prices. These jumps are data entry effects, not market price changes.</w:t>
      </w:r>
    </w:p>
    <w:p>
      <w:r>
        <w:rPr>
          <w:b/>
        </w:rPr>
        <w:t>Decision.</w:t>
      </w:r>
      <w:r>
        <w:t xml:space="preserve"> A fixed-price long-term agreement for chain locks at about $32–33 is supported by the data. For the other families the data can't support a price decision.</w:t>
      </w:r>
    </w:p>
    <w:p>
      <w:pPr>
        <w:pStyle w:val="Heading2"/>
      </w:pPr>
      <w:r>
        <w:t>3.4 Additional variable: material</w:t>
      </w:r>
    </w:p>
    <w:p>
      <w:pPr>
        <w:pStyle w:val="Heading3"/>
      </w:pPr>
      <w:r>
        <w:t>Q4. Material group and dominant suppliers in critical categories</w:t>
      </w:r>
    </w:p>
    <w:p>
      <w:pPr>
        <w:keepNext/>
        <w:spacing w:after="40"/>
        <w:jc w:val="center"/>
      </w:pPr>
      <w:r>
        <w:drawing>
          <wp:inline xmlns:a="http://schemas.openxmlformats.org/drawingml/2006/main" xmlns:pic="http://schemas.openxmlformats.org/drawingml/2006/picture">
            <wp:extent cx="5760720" cy="1779820"/>
            <wp:docPr id="14" name="Picture 14"/>
            <wp:cNvGraphicFramePr>
              <a:graphicFrameLocks noChangeAspect="1"/>
            </wp:cNvGraphicFramePr>
            <a:graphic>
              <a:graphicData uri="http://schemas.openxmlformats.org/drawingml/2006/picture">
                <pic:pic>
                  <pic:nvPicPr>
                    <pic:cNvPr id="0" name="q4_material_breakdown.png"/>
                    <pic:cNvPicPr/>
                  </pic:nvPicPr>
                  <pic:blipFill>
                    <a:blip r:embed="rId24"/>
                    <a:stretch>
                      <a:fillRect/>
                    </a:stretch>
                  </pic:blipFill>
                  <pic:spPr>
                    <a:xfrm>
                      <a:off x="0" y="0"/>
                      <a:ext cx="5760720" cy="1779820"/>
                    </a:xfrm>
                    <a:prstGeom prst="rect"/>
                  </pic:spPr>
                </pic:pic>
              </a:graphicData>
            </a:graphic>
          </wp:inline>
        </w:drawing>
      </w:r>
    </w:p>
    <w:p>
      <w:pPr>
        <w:spacing w:after="200"/>
        <w:jc w:val="center"/>
      </w:pPr>
      <w:r>
        <w:rPr>
          <w:i/>
          <w:color w:val="52514E"/>
          <w:sz w:val="17"/>
        </w:rPr>
        <w:t>Figure 14. Material breakdown</w:t>
      </w:r>
    </w:p>
    <w:p>
      <w:pPr>
        <w:keepNext/>
        <w:spacing w:after="40"/>
        <w:jc w:val="center"/>
      </w:pPr>
      <w:r>
        <w:drawing>
          <wp:inline xmlns:a="http://schemas.openxmlformats.org/drawingml/2006/main" xmlns:pic="http://schemas.openxmlformats.org/drawingml/2006/picture">
            <wp:extent cx="5760720" cy="1413007"/>
            <wp:docPr id="15" name="Picture 15"/>
            <wp:cNvGraphicFramePr>
              <a:graphicFrameLocks noChangeAspect="1"/>
            </wp:cNvGraphicFramePr>
            <a:graphic>
              <a:graphicData uri="http://schemas.openxmlformats.org/drawingml/2006/picture">
                <pic:pic>
                  <pic:nvPicPr>
                    <pic:cNvPr id="0" name="q4_top_suppliers_by_category.png"/>
                    <pic:cNvPicPr/>
                  </pic:nvPicPr>
                  <pic:blipFill>
                    <a:blip r:embed="rId25"/>
                    <a:stretch>
                      <a:fillRect/>
                    </a:stretch>
                  </pic:blipFill>
                  <pic:spPr>
                    <a:xfrm>
                      <a:off x="0" y="0"/>
                      <a:ext cx="5760720" cy="1413007"/>
                    </a:xfrm>
                    <a:prstGeom prst="rect"/>
                  </pic:spPr>
                </pic:pic>
              </a:graphicData>
            </a:graphic>
          </wp:inline>
        </w:drawing>
      </w:r>
    </w:p>
    <w:p>
      <w:pPr>
        <w:spacing w:after="200"/>
        <w:jc w:val="center"/>
      </w:pPr>
      <w:r>
        <w:rPr>
          <w:i/>
          <w:color w:val="52514E"/>
          <w:sz w:val="17"/>
        </w:rPr>
        <w:t>Figure 15. Top suppliers per category</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2353"/>
        <w:gridCol w:w="2353"/>
        <w:gridCol w:w="2353"/>
        <w:gridCol w:w="2353"/>
      </w:tblGrid>
      <w:tr>
        <w:trPr>
          <w:cantSplit/>
          <w:tblHeader/>
        </w:trPr>
        <w:tc>
          <w:tcPr>
            <w:tcW w:type="dxa" w:w="2146"/>
            <w:shd w:val="clear" w:color="auto" w:fill="1F3A5F"/>
          </w:tcPr>
          <w:p>
            <w:pPr>
              <w:spacing w:after="0" w:before="0" w:line="240" w:lineRule="auto"/>
            </w:pPr>
            <w:r>
              <w:rPr>
                <w:b/>
                <w:color w:val="FFFFFF"/>
                <w:sz w:val="18"/>
              </w:rPr>
              <w:t>SAP material group</w:t>
            </w:r>
          </w:p>
        </w:tc>
        <w:tc>
          <w:tcPr>
            <w:tcW w:type="dxa" w:w="878"/>
            <w:shd w:val="clear" w:color="auto" w:fill="1F3A5F"/>
          </w:tcPr>
          <w:p>
            <w:pPr>
              <w:spacing w:after="0" w:before="0" w:line="240" w:lineRule="auto"/>
              <w:jc w:val="right"/>
            </w:pPr>
            <w:r>
              <w:rPr>
                <w:b/>
                <w:color w:val="FFFFFF"/>
                <w:sz w:val="18"/>
              </w:rPr>
              <w:t>Share</w:t>
            </w:r>
          </w:p>
        </w:tc>
        <w:tc>
          <w:tcPr>
            <w:tcW w:type="dxa" w:w="2731"/>
            <w:shd w:val="clear" w:color="auto" w:fill="1F3A5F"/>
          </w:tcPr>
          <w:p>
            <w:pPr>
              <w:spacing w:after="0" w:before="0" w:line="240" w:lineRule="auto"/>
            </w:pPr>
            <w:r>
              <w:rPr>
                <w:b/>
                <w:color w:val="FFFFFF"/>
                <w:sz w:val="18"/>
              </w:rPr>
              <w:t>Derived category</w:t>
            </w:r>
          </w:p>
        </w:tc>
        <w:tc>
          <w:tcPr>
            <w:tcW w:type="dxa" w:w="3317"/>
            <w:shd w:val="clear" w:color="auto" w:fill="1F3A5F"/>
          </w:tcPr>
          <w:p>
            <w:pPr>
              <w:spacing w:after="0" w:before="0" w:line="240" w:lineRule="auto"/>
              <w:jc w:val="right"/>
            </w:pPr>
            <w:r>
              <w:rPr>
                <w:b/>
                <w:color w:val="FFFFFF"/>
                <w:sz w:val="18"/>
              </w:rPr>
              <w:t>Share</w:t>
            </w:r>
          </w:p>
        </w:tc>
      </w:tr>
      <w:tr>
        <w:trPr>
          <w:cantSplit/>
        </w:trPr>
        <w:tc>
          <w:tcPr>
            <w:tcW w:type="dxa" w:w="2146"/>
          </w:tcPr>
          <w:p>
            <w:pPr>
              <w:spacing w:after="0" w:before="0" w:line="240" w:lineRule="auto"/>
            </w:pPr>
            <w:r>
              <w:rPr>
                <w:sz w:val="18"/>
              </w:rPr>
              <w:t>UTIL</w:t>
            </w:r>
          </w:p>
        </w:tc>
        <w:tc>
          <w:tcPr>
            <w:tcW w:type="dxa" w:w="878"/>
          </w:tcPr>
          <w:p>
            <w:pPr>
              <w:spacing w:after="0" w:before="0" w:line="240" w:lineRule="auto"/>
              <w:jc w:val="right"/>
            </w:pPr>
            <w:r>
              <w:rPr>
                <w:sz w:val="18"/>
              </w:rPr>
              <w:t>94.7%</w:t>
            </w:r>
          </w:p>
        </w:tc>
        <w:tc>
          <w:tcPr>
            <w:tcW w:type="dxa" w:w="2731"/>
          </w:tcPr>
          <w:p>
            <w:pPr>
              <w:spacing w:after="0" w:before="0" w:line="240" w:lineRule="auto"/>
            </w:pPr>
            <w:r>
              <w:rPr>
                <w:sz w:val="18"/>
              </w:rPr>
              <w:t>Accessories</w:t>
            </w:r>
          </w:p>
        </w:tc>
        <w:tc>
          <w:tcPr>
            <w:tcW w:type="dxa" w:w="3317"/>
          </w:tcPr>
          <w:p>
            <w:pPr>
              <w:spacing w:after="0" w:before="0" w:line="240" w:lineRule="auto"/>
              <w:jc w:val="right"/>
            </w:pPr>
            <w:r>
              <w:rPr>
                <w:b/>
                <w:sz w:val="18"/>
              </w:rPr>
              <w:t>74.8%</w:t>
            </w:r>
            <w:r>
              <w:rPr>
                <w:sz w:val="18"/>
              </w:rPr>
              <w:t xml:space="preserve"> (chain lock alone 64.8%)</w:t>
            </w:r>
          </w:p>
        </w:tc>
      </w:tr>
      <w:tr>
        <w:trPr>
          <w:cantSplit/>
        </w:trPr>
        <w:tc>
          <w:tcPr>
            <w:tcW w:type="dxa" w:w="2146"/>
            <w:shd w:val="clear" w:color="auto" w:fill="F3F6FA"/>
          </w:tcPr>
          <w:p>
            <w:pPr>
              <w:spacing w:after="0" w:before="0" w:line="240" w:lineRule="auto"/>
            </w:pPr>
            <w:r>
              <w:rPr>
                <w:sz w:val="18"/>
              </w:rPr>
              <w:t>BIKES</w:t>
            </w:r>
          </w:p>
        </w:tc>
        <w:tc>
          <w:tcPr>
            <w:tcW w:type="dxa" w:w="878"/>
            <w:shd w:val="clear" w:color="auto" w:fill="F3F6FA"/>
          </w:tcPr>
          <w:p>
            <w:pPr>
              <w:spacing w:after="0" w:before="0" w:line="240" w:lineRule="auto"/>
              <w:jc w:val="right"/>
            </w:pPr>
            <w:r>
              <w:rPr>
                <w:sz w:val="18"/>
              </w:rPr>
              <w:t>2.9%</w:t>
            </w:r>
          </w:p>
        </w:tc>
        <w:tc>
          <w:tcPr>
            <w:tcW w:type="dxa" w:w="2731"/>
            <w:shd w:val="clear" w:color="auto" w:fill="F3F6FA"/>
          </w:tcPr>
          <w:p>
            <w:pPr>
              <w:spacing w:after="0" w:before="0" w:line="240" w:lineRule="auto"/>
            </w:pPr>
            <w:r>
              <w:rPr>
                <w:sz w:val="18"/>
              </w:rPr>
              <w:t>Non-bike (exercise item)</w:t>
            </w:r>
          </w:p>
        </w:tc>
        <w:tc>
          <w:tcPr>
            <w:tcW w:type="dxa" w:w="3317"/>
            <w:shd w:val="clear" w:color="auto" w:fill="F3F6FA"/>
          </w:tcPr>
          <w:p>
            <w:pPr>
              <w:spacing w:after="0" w:before="0" w:line="240" w:lineRule="auto"/>
              <w:jc w:val="right"/>
            </w:pPr>
            <w:r>
              <w:rPr>
                <w:sz w:val="18"/>
              </w:rPr>
              <w:t>21.9%</w:t>
            </w:r>
          </w:p>
        </w:tc>
      </w:tr>
      <w:tr>
        <w:trPr>
          <w:cantSplit/>
        </w:trPr>
        <w:tc>
          <w:tcPr>
            <w:tcW w:type="dxa" w:w="2146"/>
          </w:tcPr>
          <w:p>
            <w:pPr>
              <w:spacing w:after="0" w:before="0" w:line="240" w:lineRule="auto"/>
            </w:pPr>
            <w:r>
              <w:rPr>
                <w:sz w:val="18"/>
              </w:rPr>
              <w:t>RAW</w:t>
            </w:r>
          </w:p>
        </w:tc>
        <w:tc>
          <w:tcPr>
            <w:tcW w:type="dxa" w:w="878"/>
          </w:tcPr>
          <w:p>
            <w:pPr>
              <w:spacing w:after="0" w:before="0" w:line="240" w:lineRule="auto"/>
              <w:jc w:val="right"/>
            </w:pPr>
            <w:r>
              <w:rPr>
                <w:sz w:val="18"/>
              </w:rPr>
              <w:t>2.4%</w:t>
            </w:r>
          </w:p>
        </w:tc>
        <w:tc>
          <w:tcPr>
            <w:tcW w:type="dxa" w:w="2731"/>
          </w:tcPr>
          <w:p>
            <w:pPr>
              <w:spacing w:after="0" w:before="0" w:line="240" w:lineRule="auto"/>
            </w:pPr>
            <w:r>
              <w:rPr>
                <w:sz w:val="18"/>
              </w:rPr>
              <w:t>Finished bikes</w:t>
            </w:r>
          </w:p>
        </w:tc>
        <w:tc>
          <w:tcPr>
            <w:tcW w:type="dxa" w:w="3317"/>
          </w:tcPr>
          <w:p>
            <w:pPr>
              <w:spacing w:after="0" w:before="0" w:line="240" w:lineRule="auto"/>
              <w:jc w:val="right"/>
            </w:pPr>
            <w:r>
              <w:rPr>
                <w:sz w:val="18"/>
              </w:rPr>
              <w:t>2.9%</w:t>
            </w:r>
          </w:p>
        </w:tc>
      </w:tr>
      <w:tr>
        <w:trPr>
          <w:cantSplit/>
        </w:trPr>
        <w:tc>
          <w:tcPr>
            <w:tcW w:type="dxa" w:w="2146"/>
            <w:shd w:val="clear" w:color="auto" w:fill="F3F6FA"/>
          </w:tcPr>
          <w:p>
            <w:pPr>
              <w:spacing w:after="0" w:before="0" w:line="240" w:lineRule="auto"/>
            </w:pPr>
          </w:p>
        </w:tc>
        <w:tc>
          <w:tcPr>
            <w:tcW w:type="dxa" w:w="878"/>
            <w:shd w:val="clear" w:color="auto" w:fill="F3F6FA"/>
          </w:tcPr>
          <w:p>
            <w:pPr>
              <w:spacing w:after="0" w:before="0" w:line="240" w:lineRule="auto"/>
              <w:jc w:val="right"/>
            </w:pPr>
          </w:p>
        </w:tc>
        <w:tc>
          <w:tcPr>
            <w:tcW w:type="dxa" w:w="2731"/>
            <w:shd w:val="clear" w:color="auto" w:fill="F3F6FA"/>
          </w:tcPr>
          <w:p>
            <w:pPr>
              <w:spacing w:after="0" w:before="0" w:line="240" w:lineRule="auto"/>
            </w:pPr>
            <w:r>
              <w:rPr>
                <w:sz w:val="18"/>
              </w:rPr>
              <w:t>Components</w:t>
            </w:r>
          </w:p>
        </w:tc>
        <w:tc>
          <w:tcPr>
            <w:tcW w:type="dxa" w:w="3317"/>
            <w:shd w:val="clear" w:color="auto" w:fill="F3F6FA"/>
          </w:tcPr>
          <w:p>
            <w:pPr>
              <w:spacing w:after="0" w:before="0" w:line="240" w:lineRule="auto"/>
              <w:jc w:val="right"/>
            </w:pPr>
            <w:r>
              <w:rPr>
                <w:sz w:val="18"/>
              </w:rPr>
              <w:t>0.4%</w:t>
            </w:r>
          </w:p>
        </w:tc>
      </w:tr>
    </w:tbl>
    <w:p>
      <w:pPr>
        <w:spacing w:after="40"/>
      </w:pP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1569"/>
        <w:gridCol w:w="1569"/>
        <w:gridCol w:w="1569"/>
        <w:gridCol w:w="1569"/>
        <w:gridCol w:w="1569"/>
        <w:gridCol w:w="1569"/>
      </w:tblGrid>
      <w:tr>
        <w:trPr>
          <w:cantSplit/>
          <w:tblHeader/>
        </w:trPr>
        <w:tc>
          <w:tcPr>
            <w:tcW w:type="dxa" w:w="1756"/>
            <w:shd w:val="clear" w:color="auto" w:fill="1F3A5F"/>
          </w:tcPr>
          <w:p>
            <w:pPr>
              <w:spacing w:after="0" w:before="0" w:line="240" w:lineRule="auto"/>
            </w:pPr>
            <w:r>
              <w:rPr>
                <w:b/>
                <w:color w:val="FFFFFF"/>
                <w:sz w:val="18"/>
              </w:rPr>
              <w:t>Category</w:t>
            </w:r>
          </w:p>
        </w:tc>
        <w:tc>
          <w:tcPr>
            <w:tcW w:type="dxa" w:w="1561"/>
            <w:shd w:val="clear" w:color="auto" w:fill="1F3A5F"/>
          </w:tcPr>
          <w:p>
            <w:pPr>
              <w:spacing w:after="0" w:before="0" w:line="240" w:lineRule="auto"/>
              <w:jc w:val="right"/>
            </w:pPr>
            <w:r>
              <w:rPr>
                <w:b/>
                <w:color w:val="FFFFFF"/>
                <w:sz w:val="18"/>
              </w:rPr>
              <w:t>Net PO value</w:t>
            </w:r>
          </w:p>
        </w:tc>
        <w:tc>
          <w:tcPr>
            <w:tcW w:type="dxa" w:w="1268"/>
            <w:shd w:val="clear" w:color="auto" w:fill="1F3A5F"/>
          </w:tcPr>
          <w:p>
            <w:pPr>
              <w:spacing w:after="0" w:before="0" w:line="240" w:lineRule="auto"/>
              <w:jc w:val="right"/>
            </w:pPr>
            <w:r>
              <w:rPr>
                <w:b/>
                <w:color w:val="FFFFFF"/>
                <w:sz w:val="18"/>
              </w:rPr>
              <w:t>Suppliers</w:t>
            </w:r>
          </w:p>
        </w:tc>
        <w:tc>
          <w:tcPr>
            <w:tcW w:type="dxa" w:w="2146"/>
            <w:shd w:val="clear" w:color="auto" w:fill="1F3A5F"/>
          </w:tcPr>
          <w:p>
            <w:pPr>
              <w:spacing w:after="0" w:before="0" w:line="240" w:lineRule="auto"/>
              <w:jc w:val="right"/>
            </w:pPr>
            <w:r>
              <w:rPr>
                <w:b/>
                <w:color w:val="FFFFFF"/>
                <w:sz w:val="18"/>
              </w:rPr>
              <w:t>Top supplier share</w:t>
            </w:r>
          </w:p>
        </w:tc>
        <w:tc>
          <w:tcPr>
            <w:tcW w:type="dxa" w:w="1463"/>
            <w:shd w:val="clear" w:color="auto" w:fill="1F3A5F"/>
          </w:tcPr>
          <w:p>
            <w:pPr>
              <w:spacing w:after="0" w:before="0" w:line="240" w:lineRule="auto"/>
              <w:jc w:val="right"/>
            </w:pPr>
            <w:r>
              <w:rPr>
                <w:b/>
                <w:color w:val="FFFFFF"/>
                <w:sz w:val="18"/>
              </w:rPr>
              <w:t>Top 5 share</w:t>
            </w:r>
          </w:p>
        </w:tc>
        <w:tc>
          <w:tcPr>
            <w:tcW w:type="dxa" w:w="878"/>
            <w:shd w:val="clear" w:color="auto" w:fill="1F3A5F"/>
          </w:tcPr>
          <w:p>
            <w:pPr>
              <w:spacing w:after="0" w:before="0" w:line="240" w:lineRule="auto"/>
              <w:jc w:val="right"/>
            </w:pPr>
            <w:r>
              <w:rPr>
                <w:b/>
                <w:color w:val="FFFFFF"/>
                <w:sz w:val="18"/>
              </w:rPr>
              <w:t>HHI</w:t>
            </w:r>
          </w:p>
        </w:tc>
      </w:tr>
      <w:tr>
        <w:trPr>
          <w:cantSplit/>
        </w:trPr>
        <w:tc>
          <w:tcPr>
            <w:tcW w:type="dxa" w:w="1756"/>
          </w:tcPr>
          <w:p>
            <w:pPr>
              <w:spacing w:after="0" w:before="0" w:line="240" w:lineRule="auto"/>
            </w:pPr>
            <w:r>
              <w:rPr>
                <w:sz w:val="18"/>
              </w:rPr>
              <w:t>Accessories</w:t>
            </w:r>
          </w:p>
        </w:tc>
        <w:tc>
          <w:tcPr>
            <w:tcW w:type="dxa" w:w="1561"/>
          </w:tcPr>
          <w:p>
            <w:pPr>
              <w:spacing w:after="0" w:before="0" w:line="240" w:lineRule="auto"/>
              <w:jc w:val="right"/>
            </w:pPr>
            <w:r>
              <w:rPr>
                <w:sz w:val="18"/>
              </w:rPr>
              <w:t>$2,285,690</w:t>
            </w:r>
          </w:p>
        </w:tc>
        <w:tc>
          <w:tcPr>
            <w:tcW w:type="dxa" w:w="1268"/>
          </w:tcPr>
          <w:p>
            <w:pPr>
              <w:spacing w:after="0" w:before="0" w:line="240" w:lineRule="auto"/>
              <w:jc w:val="right"/>
            </w:pPr>
            <w:r>
              <w:rPr>
                <w:sz w:val="18"/>
              </w:rPr>
              <w:t>259</w:t>
            </w:r>
          </w:p>
        </w:tc>
        <w:tc>
          <w:tcPr>
            <w:tcW w:type="dxa" w:w="2146"/>
          </w:tcPr>
          <w:p>
            <w:pPr>
              <w:spacing w:after="0" w:before="0" w:line="240" w:lineRule="auto"/>
              <w:jc w:val="right"/>
            </w:pPr>
            <w:r>
              <w:rPr>
                <w:sz w:val="18"/>
              </w:rPr>
              <w:t>6%</w:t>
            </w:r>
          </w:p>
        </w:tc>
        <w:tc>
          <w:tcPr>
            <w:tcW w:type="dxa" w:w="1463"/>
          </w:tcPr>
          <w:p>
            <w:pPr>
              <w:spacing w:after="0" w:before="0" w:line="240" w:lineRule="auto"/>
              <w:jc w:val="right"/>
            </w:pPr>
            <w:r>
              <w:rPr>
                <w:sz w:val="18"/>
              </w:rPr>
              <w:t>16%</w:t>
            </w:r>
          </w:p>
        </w:tc>
        <w:tc>
          <w:tcPr>
            <w:tcW w:type="dxa" w:w="878"/>
          </w:tcPr>
          <w:p>
            <w:pPr>
              <w:spacing w:after="0" w:before="0" w:line="240" w:lineRule="auto"/>
              <w:jc w:val="right"/>
            </w:pPr>
            <w:r>
              <w:rPr>
                <w:sz w:val="18"/>
              </w:rPr>
              <w:t>0.012</w:t>
            </w:r>
          </w:p>
        </w:tc>
      </w:tr>
      <w:tr>
        <w:trPr>
          <w:cantSplit/>
        </w:trPr>
        <w:tc>
          <w:tcPr>
            <w:tcW w:type="dxa" w:w="1756"/>
            <w:shd w:val="clear" w:color="auto" w:fill="F3F6FA"/>
          </w:tcPr>
          <w:p>
            <w:pPr>
              <w:spacing w:after="0" w:before="0" w:line="240" w:lineRule="auto"/>
            </w:pPr>
            <w:r>
              <w:rPr>
                <w:sz w:val="18"/>
              </w:rPr>
              <w:t>Components</w:t>
            </w:r>
          </w:p>
        </w:tc>
        <w:tc>
          <w:tcPr>
            <w:tcW w:type="dxa" w:w="1561"/>
            <w:shd w:val="clear" w:color="auto" w:fill="F3F6FA"/>
          </w:tcPr>
          <w:p>
            <w:pPr>
              <w:spacing w:after="0" w:before="0" w:line="240" w:lineRule="auto"/>
              <w:jc w:val="right"/>
            </w:pPr>
            <w:r>
              <w:rPr>
                <w:sz w:val="18"/>
              </w:rPr>
              <w:t>$11,369</w:t>
            </w:r>
          </w:p>
        </w:tc>
        <w:tc>
          <w:tcPr>
            <w:tcW w:type="dxa" w:w="1268"/>
            <w:shd w:val="clear" w:color="auto" w:fill="F3F6FA"/>
          </w:tcPr>
          <w:p>
            <w:pPr>
              <w:spacing w:after="0" w:before="0" w:line="240" w:lineRule="auto"/>
              <w:jc w:val="right"/>
            </w:pPr>
            <w:r>
              <w:rPr>
                <w:sz w:val="18"/>
              </w:rPr>
              <w:t>104</w:t>
            </w:r>
          </w:p>
        </w:tc>
        <w:tc>
          <w:tcPr>
            <w:tcW w:type="dxa" w:w="2146"/>
            <w:shd w:val="clear" w:color="auto" w:fill="F3F6FA"/>
          </w:tcPr>
          <w:p>
            <w:pPr>
              <w:spacing w:after="0" w:before="0" w:line="240" w:lineRule="auto"/>
              <w:jc w:val="right"/>
            </w:pPr>
            <w:r>
              <w:rPr>
                <w:sz w:val="18"/>
              </w:rPr>
              <w:t>19%</w:t>
            </w:r>
          </w:p>
        </w:tc>
        <w:tc>
          <w:tcPr>
            <w:tcW w:type="dxa" w:w="1463"/>
            <w:shd w:val="clear" w:color="auto" w:fill="F3F6FA"/>
          </w:tcPr>
          <w:p>
            <w:pPr>
              <w:spacing w:after="0" w:before="0" w:line="240" w:lineRule="auto"/>
              <w:jc w:val="right"/>
            </w:pPr>
            <w:r>
              <w:rPr>
                <w:sz w:val="18"/>
              </w:rPr>
              <w:t>38%</w:t>
            </w:r>
          </w:p>
        </w:tc>
        <w:tc>
          <w:tcPr>
            <w:tcW w:type="dxa" w:w="878"/>
            <w:shd w:val="clear" w:color="auto" w:fill="F3F6FA"/>
          </w:tcPr>
          <w:p>
            <w:pPr>
              <w:spacing w:after="0" w:before="0" w:line="240" w:lineRule="auto"/>
              <w:jc w:val="right"/>
            </w:pPr>
            <w:r>
              <w:rPr>
                <w:sz w:val="18"/>
              </w:rPr>
              <w:t>0.055</w:t>
            </w:r>
          </w:p>
        </w:tc>
      </w:tr>
      <w:tr>
        <w:trPr>
          <w:cantSplit/>
        </w:trPr>
        <w:tc>
          <w:tcPr>
            <w:tcW w:type="dxa" w:w="1756"/>
          </w:tcPr>
          <w:p>
            <w:pPr>
              <w:spacing w:after="0" w:before="0" w:line="240" w:lineRule="auto"/>
            </w:pPr>
            <w:r>
              <w:rPr>
                <w:b/>
                <w:sz w:val="18"/>
              </w:rPr>
              <w:t>Finished bikes</w:t>
            </w:r>
          </w:p>
        </w:tc>
        <w:tc>
          <w:tcPr>
            <w:tcW w:type="dxa" w:w="1561"/>
          </w:tcPr>
          <w:p>
            <w:pPr>
              <w:spacing w:after="0" w:before="0" w:line="240" w:lineRule="auto"/>
              <w:jc w:val="right"/>
            </w:pPr>
            <w:r>
              <w:rPr>
                <w:sz w:val="18"/>
              </w:rPr>
              <w:t>$88,550</w:t>
            </w:r>
          </w:p>
        </w:tc>
        <w:tc>
          <w:tcPr>
            <w:tcW w:type="dxa" w:w="1268"/>
          </w:tcPr>
          <w:p>
            <w:pPr>
              <w:spacing w:after="0" w:before="0" w:line="240" w:lineRule="auto"/>
              <w:jc w:val="right"/>
            </w:pPr>
            <w:r>
              <w:rPr>
                <w:b/>
                <w:sz w:val="18"/>
              </w:rPr>
              <w:t>3</w:t>
            </w:r>
          </w:p>
        </w:tc>
        <w:tc>
          <w:tcPr>
            <w:tcW w:type="dxa" w:w="2146"/>
          </w:tcPr>
          <w:p>
            <w:pPr>
              <w:spacing w:after="0" w:before="0" w:line="240" w:lineRule="auto"/>
              <w:jc w:val="right"/>
            </w:pPr>
            <w:r>
              <w:rPr>
                <w:b/>
                <w:sz w:val="18"/>
              </w:rPr>
              <w:t>85%</w:t>
            </w:r>
            <w:r>
              <w:rPr>
                <w:sz w:val="18"/>
              </w:rPr>
              <w:t xml:space="preserve"> (szállító-032)</w:t>
            </w:r>
          </w:p>
        </w:tc>
        <w:tc>
          <w:tcPr>
            <w:tcW w:type="dxa" w:w="1463"/>
          </w:tcPr>
          <w:p>
            <w:pPr>
              <w:spacing w:after="0" w:before="0" w:line="240" w:lineRule="auto"/>
              <w:jc w:val="right"/>
            </w:pPr>
            <w:r>
              <w:rPr>
                <w:sz w:val="18"/>
              </w:rPr>
              <w:t>100%</w:t>
            </w:r>
          </w:p>
        </w:tc>
        <w:tc>
          <w:tcPr>
            <w:tcW w:type="dxa" w:w="878"/>
          </w:tcPr>
          <w:p>
            <w:pPr>
              <w:spacing w:after="0" w:before="0" w:line="240" w:lineRule="auto"/>
              <w:jc w:val="right"/>
            </w:pPr>
            <w:r>
              <w:rPr>
                <w:b/>
                <w:sz w:val="18"/>
              </w:rPr>
              <w:t>0.737</w:t>
            </w:r>
          </w:p>
        </w:tc>
      </w:tr>
    </w:tbl>
    <w:p>
      <w:pPr>
        <w:spacing w:after="40"/>
      </w:pPr>
    </w:p>
    <w:p>
      <w:r>
        <w:rPr>
          <w:b/>
        </w:rPr>
        <w:t>Finding.</w:t>
      </w:r>
      <w:r>
        <w:t xml:space="preserve"> The SAP material groups are too coarse to answer the question: frames, wheels and off-road components don't appear as groups in the window. Using the derived categories, the high-performance core (finished bikes) is a small share of value but </w:t>
      </w:r>
      <w:r>
        <w:rPr>
          <w:b/>
        </w:rPr>
        <w:t>depends on one supplier (85%)</w:t>
      </w:r>
      <w:r>
        <w:t>. Accessories are extremely fragmented.</w:t>
      </w:r>
    </w:p>
    <w:p>
      <w:r>
        <w:rPr>
          <w:b/>
        </w:rPr>
        <w:t>Decision.</w:t>
      </w:r>
      <w:r>
        <w:t xml:space="preserve"> For finished bikes, qualify a second source to reduce dependence, consistent with the strategy of reliability through long-term but not exclusive relationships. Accessories are the natural area to consolidate into volume contracts.</w:t>
      </w:r>
    </w:p>
    <w:p>
      <w:pPr>
        <w:pStyle w:val="Heading3"/>
      </w:pPr>
      <w:r>
        <w:t>Q8. Single-sourced vs multi-sourced materials</w:t>
      </w:r>
    </w:p>
    <w:p>
      <w:pPr>
        <w:keepNext/>
        <w:spacing w:after="40"/>
        <w:jc w:val="center"/>
      </w:pPr>
      <w:r>
        <w:drawing>
          <wp:inline xmlns:a="http://schemas.openxmlformats.org/drawingml/2006/main" xmlns:pic="http://schemas.openxmlformats.org/drawingml/2006/picture">
            <wp:extent cx="5760720" cy="1826642"/>
            <wp:docPr id="16" name="Picture 16"/>
            <wp:cNvGraphicFramePr>
              <a:graphicFrameLocks noChangeAspect="1"/>
            </wp:cNvGraphicFramePr>
            <a:graphic>
              <a:graphicData uri="http://schemas.openxmlformats.org/drawingml/2006/picture">
                <pic:pic>
                  <pic:nvPicPr>
                    <pic:cNvPr id="0" name="q8_single_vs_multi.png"/>
                    <pic:cNvPicPr/>
                  </pic:nvPicPr>
                  <pic:blipFill>
                    <a:blip r:embed="rId26"/>
                    <a:stretch>
                      <a:fillRect/>
                    </a:stretch>
                  </pic:blipFill>
                  <pic:spPr>
                    <a:xfrm>
                      <a:off x="0" y="0"/>
                      <a:ext cx="5760720" cy="1826642"/>
                    </a:xfrm>
                    <a:prstGeom prst="rect"/>
                  </pic:spPr>
                </pic:pic>
              </a:graphicData>
            </a:graphic>
          </wp:inline>
        </w:drawing>
      </w:r>
    </w:p>
    <w:p>
      <w:pPr>
        <w:spacing w:after="200"/>
        <w:jc w:val="center"/>
      </w:pPr>
      <w:r>
        <w:rPr>
          <w:i/>
          <w:color w:val="52514E"/>
          <w:sz w:val="17"/>
        </w:rPr>
        <w:t>Figure 16. Single vs multi-sourced</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2353"/>
        <w:gridCol w:w="2353"/>
        <w:gridCol w:w="2353"/>
        <w:gridCol w:w="2353"/>
      </w:tblGrid>
      <w:tr>
        <w:trPr>
          <w:cantSplit/>
          <w:tblHeader/>
        </w:trPr>
        <w:tc>
          <w:tcPr>
            <w:tcW w:type="dxa" w:w="1897"/>
            <w:shd w:val="clear" w:color="auto" w:fill="1F3A5F"/>
          </w:tcPr>
          <w:p>
            <w:pPr>
              <w:spacing w:after="0" w:before="0" w:line="240" w:lineRule="auto"/>
            </w:pPr>
            <w:r>
              <w:rPr>
                <w:b/>
                <w:color w:val="FFFFFF"/>
                <w:sz w:val="18"/>
              </w:rPr>
              <w:t>Material definition</w:t>
            </w:r>
          </w:p>
        </w:tc>
        <w:tc>
          <w:tcPr>
            <w:tcW w:type="dxa" w:w="2804"/>
            <w:shd w:val="clear" w:color="auto" w:fill="1F3A5F"/>
          </w:tcPr>
          <w:p>
            <w:pPr>
              <w:spacing w:after="0" w:before="0" w:line="240" w:lineRule="auto"/>
              <w:jc w:val="right"/>
            </w:pPr>
            <w:r>
              <w:rPr>
                <w:b/>
                <w:color w:val="FFFFFF"/>
                <w:sz w:val="18"/>
              </w:rPr>
              <w:t>Single-sourced value</w:t>
            </w:r>
          </w:p>
        </w:tc>
        <w:tc>
          <w:tcPr>
            <w:tcW w:type="dxa" w:w="1897"/>
            <w:shd w:val="clear" w:color="auto" w:fill="1F3A5F"/>
          </w:tcPr>
          <w:p>
            <w:pPr>
              <w:spacing w:after="0" w:before="0" w:line="240" w:lineRule="auto"/>
              <w:jc w:val="right"/>
            </w:pPr>
            <w:r>
              <w:rPr>
                <w:b/>
                <w:color w:val="FFFFFF"/>
                <w:sz w:val="18"/>
              </w:rPr>
              <w:t>Multi-sourced value</w:t>
            </w:r>
          </w:p>
        </w:tc>
        <w:tc>
          <w:tcPr>
            <w:tcW w:type="dxa" w:w="2474"/>
            <w:shd w:val="clear" w:color="auto" w:fill="1F3A5F"/>
          </w:tcPr>
          <w:p>
            <w:pPr>
              <w:spacing w:after="0" w:before="0" w:line="240" w:lineRule="auto"/>
            </w:pPr>
            <w:r>
              <w:rPr>
                <w:b/>
                <w:color w:val="FFFFFF"/>
                <w:sz w:val="18"/>
              </w:rPr>
              <w:t>Materials (single / total)</w:t>
            </w:r>
          </w:p>
        </w:tc>
      </w:tr>
      <w:tr>
        <w:trPr>
          <w:cantSplit/>
        </w:trPr>
        <w:tc>
          <w:tcPr>
            <w:tcW w:type="dxa" w:w="1897"/>
          </w:tcPr>
          <w:p>
            <w:pPr>
              <w:spacing w:after="0" w:before="0" w:line="240" w:lineRule="auto"/>
            </w:pPr>
            <w:r>
              <w:rPr>
                <w:sz w:val="18"/>
              </w:rPr>
              <w:t>SAP material number</w:t>
            </w:r>
          </w:p>
        </w:tc>
        <w:tc>
          <w:tcPr>
            <w:tcW w:type="dxa" w:w="2804"/>
          </w:tcPr>
          <w:p>
            <w:pPr>
              <w:spacing w:after="0" w:before="0" w:line="240" w:lineRule="auto"/>
              <w:jc w:val="right"/>
            </w:pPr>
            <w:r>
              <w:rPr>
                <w:b/>
                <w:sz w:val="18"/>
              </w:rPr>
              <w:t>62.7%</w:t>
            </w:r>
            <w:r>
              <w:rPr>
                <w:sz w:val="18"/>
              </w:rPr>
              <w:t xml:space="preserve"> ($1.92M)</w:t>
            </w:r>
          </w:p>
        </w:tc>
        <w:tc>
          <w:tcPr>
            <w:tcW w:type="dxa" w:w="1897"/>
          </w:tcPr>
          <w:p>
            <w:pPr>
              <w:spacing w:after="0" w:before="0" w:line="240" w:lineRule="auto"/>
              <w:jc w:val="right"/>
            </w:pPr>
            <w:r>
              <w:rPr>
                <w:sz w:val="18"/>
              </w:rPr>
              <w:t>37.3%</w:t>
            </w:r>
          </w:p>
        </w:tc>
        <w:tc>
          <w:tcPr>
            <w:tcW w:type="dxa" w:w="2474"/>
          </w:tcPr>
          <w:p>
            <w:pPr>
              <w:spacing w:after="0" w:before="0" w:line="240" w:lineRule="auto"/>
            </w:pPr>
            <w:r>
              <w:rPr>
                <w:sz w:val="18"/>
              </w:rPr>
              <w:t>427 / 489</w:t>
            </w:r>
          </w:p>
        </w:tc>
      </w:tr>
      <w:tr>
        <w:trPr>
          <w:cantSplit/>
        </w:trPr>
        <w:tc>
          <w:tcPr>
            <w:tcW w:type="dxa" w:w="1897"/>
            <w:shd w:val="clear" w:color="auto" w:fill="F3F6FA"/>
          </w:tcPr>
          <w:p>
            <w:pPr>
              <w:spacing w:after="0" w:before="0" w:line="240" w:lineRule="auto"/>
            </w:pPr>
            <w:r>
              <w:rPr>
                <w:sz w:val="18"/>
              </w:rPr>
              <w:t>Product family</w:t>
            </w:r>
          </w:p>
        </w:tc>
        <w:tc>
          <w:tcPr>
            <w:tcW w:type="dxa" w:w="2804"/>
            <w:shd w:val="clear" w:color="auto" w:fill="F3F6FA"/>
          </w:tcPr>
          <w:p>
            <w:pPr>
              <w:spacing w:after="0" w:before="0" w:line="240" w:lineRule="auto"/>
              <w:jc w:val="right"/>
            </w:pPr>
            <w:r>
              <w:rPr>
                <w:b/>
                <w:sz w:val="18"/>
              </w:rPr>
              <w:t>2.0%</w:t>
            </w:r>
            <w:r>
              <w:rPr>
                <w:sz w:val="18"/>
              </w:rPr>
              <w:t xml:space="preserve"> ($62k, water bottle cage)</w:t>
            </w:r>
          </w:p>
        </w:tc>
        <w:tc>
          <w:tcPr>
            <w:tcW w:type="dxa" w:w="1897"/>
            <w:shd w:val="clear" w:color="auto" w:fill="F3F6FA"/>
          </w:tcPr>
          <w:p>
            <w:pPr>
              <w:spacing w:after="0" w:before="0" w:line="240" w:lineRule="auto"/>
              <w:jc w:val="right"/>
            </w:pPr>
            <w:r>
              <w:rPr>
                <w:sz w:val="18"/>
              </w:rPr>
              <w:t>98.0%</w:t>
            </w:r>
          </w:p>
        </w:tc>
        <w:tc>
          <w:tcPr>
            <w:tcW w:type="dxa" w:w="2474"/>
            <w:shd w:val="clear" w:color="auto" w:fill="F3F6FA"/>
          </w:tcPr>
          <w:p>
            <w:pPr>
              <w:spacing w:after="0" w:before="0" w:line="240" w:lineRule="auto"/>
            </w:pPr>
            <w:r>
              <w:rPr>
                <w:sz w:val="18"/>
              </w:rPr>
              <w:t>1 / 9</w:t>
            </w:r>
          </w:p>
        </w:tc>
      </w:tr>
    </w:tbl>
    <w:p>
      <w:pPr>
        <w:spacing w:after="40"/>
      </w:pPr>
    </w:p>
    <w:p>
      <w:r>
        <w:rPr>
          <w:b/>
        </w:rPr>
        <w:t>Finding.</w:t>
      </w:r>
      <w:r>
        <w:t xml:space="preserve"> The answer depends on how "material" is defined. Taken literally, most value is single-sourced. That is an artefact of each user creating their own material number for the same product: there are 183 numbers for chain lock, supplied by 172 suppliers. By product family, real single-sourcing is limited to the water bottle cage, plus finished bikes in practice (85% from one supplier, Q4).</w:t>
      </w:r>
    </w:p>
    <w:p>
      <w:r>
        <w:rPr>
          <w:b/>
        </w:rPr>
        <w:t>Decision.</w:t>
      </w:r>
      <w:r>
        <w:t xml:space="preserve"> Put second-source qualification on the bottle cage and finished bikes. Harmonise material numbers in the material master so that sourcing, price comparison and contracts work across suppliers.</w:t>
      </w:r>
    </w:p>
    <w:p>
      <w:pPr>
        <w:pStyle w:val="Heading1"/>
        <w:pageBreakBefore/>
        <w:pBdr>
          <w:bottom w:val="single" w:sz="8" w:space="4" w:color="1F3A5F"/>
        </w:pBdr>
      </w:pPr>
      <w:r>
        <w:t>4. Summary for Antonio</w:t>
      </w:r>
    </w:p>
    <w:tbl>
      <w:tblPr>
        <w:tblW w:type="auto" w:w="0"/>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50" w:type="dxa"/>
          <w:left w:w="90" w:type="dxa"/>
          <w:bottom w:w="50" w:type="dxa"/>
          <w:right w:w="90" w:type="dxa"/>
        </w:tblCellMar>
        <w:tblLook w:firstColumn="1" w:firstRow="1" w:lastColumn="0" w:lastRow="0" w:noHBand="0" w:noVBand="1" w:val="04A0"/>
      </w:tblPr>
      <w:tblGrid>
        <w:gridCol w:w="3137"/>
        <w:gridCol w:w="3137"/>
        <w:gridCol w:w="3137"/>
      </w:tblGrid>
      <w:tr>
        <w:trPr>
          <w:cantSplit/>
          <w:tblHeader/>
        </w:trPr>
        <w:tc>
          <w:tcPr>
            <w:tcW w:type="dxa" w:w="836"/>
            <w:shd w:val="clear" w:color="auto" w:fill="1F3A5F"/>
          </w:tcPr>
          <w:p>
            <w:pPr>
              <w:spacing w:after="0" w:before="0" w:line="240" w:lineRule="auto"/>
            </w:pPr>
            <w:r>
              <w:rPr>
                <w:b/>
                <w:color w:val="FFFFFF"/>
                <w:sz w:val="18"/>
              </w:rPr>
              <w:t>Area</w:t>
            </w:r>
          </w:p>
        </w:tc>
        <w:tc>
          <w:tcPr>
            <w:tcW w:type="dxa" w:w="4118"/>
            <w:shd w:val="clear" w:color="auto" w:fill="1F3A5F"/>
          </w:tcPr>
          <w:p>
            <w:pPr>
              <w:spacing w:after="0" w:before="0" w:line="240" w:lineRule="auto"/>
            </w:pPr>
            <w:r>
              <w:rPr>
                <w:b/>
                <w:color w:val="FFFFFF"/>
                <w:sz w:val="18"/>
              </w:rPr>
              <w:t>What the data supports</w:t>
            </w:r>
          </w:p>
        </w:tc>
        <w:tc>
          <w:tcPr>
            <w:tcW w:type="dxa" w:w="4118"/>
            <w:shd w:val="clear" w:color="auto" w:fill="1F3A5F"/>
          </w:tcPr>
          <w:p>
            <w:pPr>
              <w:spacing w:after="0" w:before="0" w:line="240" w:lineRule="auto"/>
            </w:pPr>
            <w:r>
              <w:rPr>
                <w:b/>
                <w:color w:val="FFFFFF"/>
                <w:sz w:val="18"/>
              </w:rPr>
              <w:t>What it can't tell (yet)</w:t>
            </w:r>
          </w:p>
        </w:tc>
      </w:tr>
      <w:tr>
        <w:trPr>
          <w:cantSplit/>
        </w:trPr>
        <w:tc>
          <w:tcPr>
            <w:tcW w:type="dxa" w:w="836"/>
          </w:tcPr>
          <w:p>
            <w:pPr>
              <w:spacing w:after="0" w:before="0" w:line="240" w:lineRule="auto"/>
            </w:pPr>
            <w:r>
              <w:rPr>
                <w:sz w:val="18"/>
              </w:rPr>
              <w:t>Supplier</w:t>
            </w:r>
          </w:p>
        </w:tc>
        <w:tc>
          <w:tcPr>
            <w:tcW w:type="dxa" w:w="4118"/>
          </w:tcPr>
          <w:p>
            <w:pPr>
              <w:spacing w:after="0" w:before="0" w:line="240" w:lineRule="auto"/>
            </w:pPr>
            <w:r>
              <w:rPr>
                <w:sz w:val="18"/>
              </w:rPr>
              <w:t>~87 A-class suppliers = 80% of value, where long-term contracts make sense. 18 suppliers with many small POs to consolidate.</w:t>
            </w:r>
          </w:p>
        </w:tc>
        <w:tc>
          <w:tcPr>
            <w:tcW w:type="dxa" w:w="4118"/>
          </w:tcPr>
          <w:p>
            <w:pPr>
              <w:spacing w:after="0" w:before="0" w:line="240" w:lineRule="auto"/>
            </w:pPr>
            <w:r>
              <w:rPr>
                <w:sz w:val="18"/>
              </w:rPr>
              <w:t xml:space="preserve">Which supplier is </w:t>
            </w:r>
            <w:r>
              <w:rPr>
                <w:i/>
                <w:sz w:val="18"/>
              </w:rPr>
              <w:t>best</w:t>
            </w:r>
            <w:r>
              <w:rPr>
                <w:sz w:val="18"/>
              </w:rPr>
              <w:t>: there is no quality, reliability or lifecycle-cost data.</w:t>
            </w:r>
          </w:p>
        </w:tc>
      </w:tr>
      <w:tr>
        <w:trPr>
          <w:cantSplit/>
        </w:trPr>
        <w:tc>
          <w:tcPr>
            <w:tcW w:type="dxa" w:w="836"/>
            <w:shd w:val="clear" w:color="auto" w:fill="F3F6FA"/>
          </w:tcPr>
          <w:p>
            <w:pPr>
              <w:spacing w:after="0" w:before="0" w:line="240" w:lineRule="auto"/>
            </w:pPr>
            <w:r>
              <w:rPr>
                <w:sz w:val="18"/>
              </w:rPr>
              <w:t>Geography</w:t>
            </w:r>
          </w:p>
        </w:tc>
        <w:tc>
          <w:tcPr>
            <w:tcW w:type="dxa" w:w="4118"/>
            <w:shd w:val="clear" w:color="auto" w:fill="F3F6FA"/>
          </w:tcPr>
          <w:p>
            <w:pPr>
              <w:spacing w:after="0" w:before="0" w:line="240" w:lineRule="auto"/>
            </w:pPr>
            <w:r>
              <w:rPr>
                <w:sz w:val="18"/>
              </w:rPr>
              <w:t>95% domestic by value. Overseas suppliers handle many small orders.</w:t>
            </w:r>
          </w:p>
        </w:tc>
        <w:tc>
          <w:tcPr>
            <w:tcW w:type="dxa" w:w="4118"/>
            <w:shd w:val="clear" w:color="auto" w:fill="F3F6FA"/>
          </w:tcPr>
          <w:p>
            <w:pPr>
              <w:spacing w:after="0" w:before="0" w:line="240" w:lineRule="auto"/>
            </w:pPr>
            <w:r>
              <w:rPr>
                <w:sz w:val="18"/>
              </w:rPr>
              <w:t>Supply risk: the address isn't the ship-from location, and 45% of US value has no state.</w:t>
            </w:r>
          </w:p>
        </w:tc>
      </w:tr>
      <w:tr>
        <w:trPr>
          <w:cantSplit/>
        </w:trPr>
        <w:tc>
          <w:tcPr>
            <w:tcW w:type="dxa" w:w="836"/>
          </w:tcPr>
          <w:p>
            <w:pPr>
              <w:spacing w:after="0" w:before="0" w:line="240" w:lineRule="auto"/>
            </w:pPr>
            <w:r>
              <w:rPr>
                <w:sz w:val="18"/>
              </w:rPr>
              <w:t>Time</w:t>
            </w:r>
          </w:p>
        </w:tc>
        <w:tc>
          <w:tcPr>
            <w:tcW w:type="dxa" w:w="4118"/>
          </w:tcPr>
          <w:p>
            <w:pPr>
              <w:spacing w:after="0" w:before="0" w:line="240" w:lineRule="auto"/>
            </w:pPr>
            <w:r>
              <w:rPr>
                <w:sz w:val="18"/>
              </w:rPr>
              <w:t>Purchasing comes in bursts with 5 empty months. Chain-lock prices are stable at $32–35.</w:t>
            </w:r>
          </w:p>
        </w:tc>
        <w:tc>
          <w:tcPr>
            <w:tcW w:type="dxa" w:w="4118"/>
          </w:tcPr>
          <w:p>
            <w:pPr>
              <w:spacing w:after="0" w:before="0" w:line="240" w:lineRule="auto"/>
            </w:pPr>
            <w:r>
              <w:rPr>
                <w:sz w:val="18"/>
              </w:rPr>
              <w:t>Seasonality: one year of training data isn't enough.</w:t>
            </w:r>
          </w:p>
        </w:tc>
      </w:tr>
      <w:tr>
        <w:trPr>
          <w:cantSplit/>
        </w:trPr>
        <w:tc>
          <w:tcPr>
            <w:tcW w:type="dxa" w:w="836"/>
            <w:shd w:val="clear" w:color="auto" w:fill="F3F6FA"/>
          </w:tcPr>
          <w:p>
            <w:pPr>
              <w:spacing w:after="0" w:before="0" w:line="240" w:lineRule="auto"/>
            </w:pPr>
            <w:r>
              <w:rPr>
                <w:sz w:val="18"/>
              </w:rPr>
              <w:t>Material</w:t>
            </w:r>
          </w:p>
        </w:tc>
        <w:tc>
          <w:tcPr>
            <w:tcW w:type="dxa" w:w="4118"/>
            <w:shd w:val="clear" w:color="auto" w:fill="F3F6FA"/>
          </w:tcPr>
          <w:p>
            <w:pPr>
              <w:spacing w:after="0" w:before="0" w:line="240" w:lineRule="auto"/>
            </w:pPr>
            <w:r>
              <w:rPr>
                <w:sz w:val="18"/>
              </w:rPr>
              <w:t>Finished bikes depend 85% on one supplier, and the bottle cage is single-sourced.</w:t>
            </w:r>
          </w:p>
        </w:tc>
        <w:tc>
          <w:tcPr>
            <w:tcW w:type="dxa" w:w="4118"/>
            <w:shd w:val="clear" w:color="auto" w:fill="F3F6FA"/>
          </w:tcPr>
          <w:p>
            <w:pPr>
              <w:spacing w:after="0" w:before="0" w:line="240" w:lineRule="auto"/>
            </w:pPr>
            <w:r>
              <w:rPr>
                <w:sz w:val="18"/>
              </w:rPr>
              <w:t>Equivalence of alternative suppliers: qualification data is needed.</w:t>
            </w:r>
          </w:p>
        </w:tc>
      </w:tr>
    </w:tbl>
    <w:p>
      <w:pPr>
        <w:spacing w:after="40"/>
      </w:pPr>
    </w:p>
    <w:p>
      <w:r>
        <w:rPr>
          <w:b/>
        </w:rPr>
        <w:t>Additional data Antonio needs before changing a supplier relationship:</w:t>
      </w:r>
    </w:p>
    <w:p>
      <w:pPr>
        <w:pStyle w:val="ListNumber"/>
        <w:numPr>
          <w:ilvl w:val="0"/>
          <w:numId w:val="11"/>
        </w:numPr>
      </w:pPr>
      <w:r>
        <w:rPr>
          <w:b/>
        </w:rPr>
        <w:t>Quality</w:t>
      </w:r>
      <w:r>
        <w:t>: QM inspection lots, rejection and return rates per supplier and material.</w:t>
      </w:r>
    </w:p>
    <w:p>
      <w:pPr>
        <w:pStyle w:val="ListNumber"/>
        <w:numPr>
          <w:ilvl w:val="0"/>
          <w:numId w:val="11"/>
        </w:numPr>
      </w:pPr>
      <w:r>
        <w:rPr>
          <w:b/>
        </w:rPr>
        <w:t>Delivery reliability</w:t>
      </w:r>
      <w:r>
        <w:t>: goods-receipt dates (EKBE) compared with scheduled delivery dates (EKET).</w:t>
      </w:r>
    </w:p>
    <w:p>
      <w:pPr>
        <w:pStyle w:val="ListNumber"/>
        <w:numPr>
          <w:ilvl w:val="0"/>
          <w:numId w:val="11"/>
        </w:numPr>
      </w:pPr>
      <w:r>
        <w:rPr>
          <w:b/>
        </w:rPr>
        <w:t>Total cost of ownership</w:t>
      </w:r>
      <w:r>
        <w:t>: invoiced vs ordered prices (EKBE/RBKP), freight, warranty and lifecycle costs.</w:t>
      </w:r>
    </w:p>
    <w:p>
      <w:pPr>
        <w:pStyle w:val="ListNumber"/>
        <w:numPr>
          <w:ilvl w:val="0"/>
          <w:numId w:val="11"/>
        </w:numPr>
      </w:pPr>
      <w:r>
        <w:rPr>
          <w:b/>
        </w:rPr>
        <w:t>Master data</w:t>
      </w:r>
      <w:r>
        <w:t>: complete supplier addresses (state, ship-from), a harmonised material master and a meaningful material group hierarchy (frames, wheels, components, accessories).</w:t>
      </w:r>
    </w:p>
    <w:p>
      <w:pPr>
        <w:pStyle w:val="ListNumber"/>
        <w:numPr>
          <w:ilvl w:val="0"/>
          <w:numId w:val="11"/>
        </w:numPr>
      </w:pPr>
      <w:r>
        <w:rPr>
          <w:b/>
        </w:rPr>
        <w:t>History</w:t>
      </w:r>
      <w:r>
        <w:t>: at least 2–3 years of production data (outside the training client) to test seasonality and price trends.</w:t>
      </w:r>
    </w:p>
    <w:p>
      <w:pPr>
        <w:pStyle w:val="Heading1"/>
        <w:pageBreakBefore/>
        <w:pBdr>
          <w:bottom w:val="single" w:sz="8" w:space="4" w:color="1F3A5F"/>
        </w:pBdr>
      </w:pPr>
      <w:r>
        <w:t>5. Use of AI tools</w:t>
      </w:r>
    </w:p>
    <w:p>
      <w:r>
        <w:t>The project was carried out with the support of an AI coding agent (Claude Code), with a clear split of responsibilities:</w:t>
      </w:r>
    </w:p>
    <w:p>
      <w:pPr>
        <w:pStyle w:val="ListBullet"/>
      </w:pPr>
      <w:r>
        <w:rPr>
          <w:b/>
        </w:rPr>
        <w:t>Human (team):</w:t>
      </w:r>
      <w:r>
        <w:t xml:space="preserve"> designed the project architecture (workflow, folder structure, one notebook per table and per question), </w:t>
      </w:r>
      <w:r>
        <w:rPr>
          <w:b/>
        </w:rPr>
        <w:t>formulated the analytical questions</w:t>
      </w:r>
      <w:r>
        <w:t xml:space="preserve"> and the scope (US00, reporting period, measures), and </w:t>
      </w:r>
      <w:r>
        <w:rPr>
          <w:b/>
        </w:rPr>
        <w:t>interpreted the data</w:t>
      </w:r>
      <w:r>
        <w:t>: the business findings, decisions and limitations in this report are our own.</w:t>
      </w:r>
    </w:p>
    <w:p>
      <w:pPr>
        <w:pStyle w:val="ListBullet"/>
      </w:pPr>
      <w:r>
        <w:rPr>
          <w:b/>
        </w:rPr>
        <w:t>AI agent:</w:t>
      </w:r>
      <w:r>
        <w:t xml:space="preserve"> delegated the repetitive, monotonous coding work under our direction: boilerplate code for loading and caching the Excel exports, routine EDA checks (missing values, value counts, grain checks), pandas aggregations and the matplotlib plotting code for the charts.</w:t>
      </w:r>
    </w:p>
    <w:p>
      <w:r>
        <w:t>All code was reviewed and run by the team, and every number in this report was checked against the notebook outputs.</w:t>
      </w:r>
    </w:p>
    <w:p>
      <w:r>
        <w:rPr>
          <w:i/>
          <w:color w:val="52514E"/>
          <w:sz w:val="18"/>
        </w:rPr>
        <w:t>Source code and notebooks: `src/eda/` (exploratory data analysis) and `src/analysis/q1 … q8` (one notebook per question). Charts: `reports/figures/`.</w:t>
      </w:r>
    </w:p>
    <w:sectPr w:rsidR="00FC693F" w:rsidRPr="0006063C" w:rsidSect="00034616">
      <w:headerReference w:type="default" r:id="rId9"/>
      <w:footerReference w:type="default" r:id="rId10"/>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Page </w:t>
    </w:r>
    <w:r>
      <w:rPr>
        <w:color w:val="52514E"/>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D0D5DD"/>
      </w:pBdr>
      <w:jc w:val="right"/>
    </w:pPr>
    <w:r>
      <w:rPr>
        <w:color w:val="52514E"/>
        <w:sz w:val="17"/>
      </w:rPr>
      <w:t>Global Bike · US procurement analysis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Calibri" w:hAnsi="Calibri"/>
      <w:b/>
      <w:bCs/>
      <w:color w:val="2A78D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Bike procurement analysis 2026: final report</dc:title>
  <dc:subject>Global Bike US procurement analysis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