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San José de Cúcuta, [fecha de envío]</w:t>
      </w:r>
    </w:p>
    <w:p>
      <w:pPr>
        <w:spacing w:after="0"/>
        <w:jc w:val="left"/>
      </w:pPr>
      <w:r>
        <w:rPr>
          <w:rFonts w:ascii="Arial" w:cs="Arial" w:eastAsia="Arial" w:hAnsi="Arial"/>
          <w:sz w:val="22"/>
          <w:szCs w:val="22"/>
        </w:rPr>
        <w:t xml:space="preserve">Señores</w:t>
      </w:r>
    </w:p>
    <w:p>
      <w:pPr>
        <w:spacing w:after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GRUPO INMOBILIARIO PAISAJE URBANO S.A.S.</w:t>
      </w:r>
    </w:p>
    <w:p>
      <w:pPr>
        <w:spacing w:after="0"/>
        <w:jc w:val="left"/>
      </w:pPr>
      <w:r>
        <w:rPr>
          <w:rFonts w:ascii="Arial" w:cs="Arial" w:eastAsia="Arial" w:hAnsi="Arial"/>
          <w:sz w:val="22"/>
          <w:szCs w:val="22"/>
        </w:rPr>
        <w:t xml:space="preserve">Attn: Representante Legal / Gerencia General / Dirección de Obra Palladium</w:t>
      </w:r>
    </w:p>
    <w:p>
      <w:pPr>
        <w:spacing w:after="14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Calle 18 # 0-50, Barrio Blanco, San José de Cúcuta</w:t>
      </w:r>
    </w:p>
    <w:p>
      <w:pPr>
        <w:spacing w:after="14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ASUNTO: </w:t>
      </w:r>
      <w:r>
        <w:rPr>
          <w:rFonts w:ascii="Arial" w:cs="Arial" w:eastAsia="Arial" w:hAnsi="Arial"/>
          <w:sz w:val="22"/>
          <w:szCs w:val="22"/>
        </w:rPr>
        <w:t xml:space="preserve">Reclamación directa por garantía legal, requerimiento final de cumplimiento y constitución en mora – Conjunto Multifamiliar Palladium Apartamentos P.H.</w:t>
      </w:r>
    </w:p>
    <w:p>
      <w:pPr>
        <w:spacing w:after="14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REFERENCIA: </w:t>
      </w:r>
      <w:r>
        <w:rPr>
          <w:rFonts w:ascii="Arial" w:cs="Arial" w:eastAsia="Arial" w:hAnsi="Arial"/>
          <w:sz w:val="22"/>
          <w:szCs w:val="22"/>
        </w:rPr>
        <w:t xml:space="preserve">Licencia de Construcción LC-54001-1-21-0274; Escritura Pública 3844 (RPH); Actas de entrega TA-Urb y TB; Radicados #70656 y #72732.</w:t>
      </w:r>
    </w:p>
    <w:p>
      <w:pPr>
        <w:spacing w:after="14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Cordial saludo,</w:t>
      </w:r>
    </w:p>
    <w:p>
      <w:pPr>
        <w:spacing w:after="14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Actuando como Representante Legal del Conjunto Multifamiliar Palladium Apartamentos P.H., y con el respaldo del Comité de Recibo de Zonas Comunes [y de la autorización del Consejo de Administración / Asamblea, Acta No. __], formulamos la presente reclamación directa y requerimiento final de cumplimiento.</w:t>
      </w:r>
    </w:p>
    <w:p>
      <w:pPr>
        <w:keepNext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Antecedentes</w:t>
      </w:r>
    </w:p>
    <w:p>
      <w:pPr>
        <w:spacing w:after="14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El 02 de marzo de 2026 se inició la inspección física de las zonas comunes (Actas TA-Urb y TB). Han transcurrido más de siete meses sin que se ejecuten los hallazgos de fondo, pese a los Radicados #70656 y #72732 y a los compromisos verbales de la constructora. Las intervenciones realizadas han sido parciales y no resuelven los siguientes puntos, que se detallan y soportan en el Informe Técnico [nombre del ingeniero, M.P. ___] (Anexo 1) y el registro fotográfico (Anexo 2):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3000"/>
        <w:gridCol w:w="2860"/>
      </w:tblGrid>
      <w:tr>
        <w:trPr>
          <w:cantSplit/>
          <w:tblHeader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Hallazgo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Fundamento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Escaleras de emergencia, Torres A, B y C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Pasamanos discontinuos, cerámica fracturada o suelta y acabados inconclusos.</w:t>
            </w:r>
          </w:p>
        </w:tc>
        <w:tc>
          <w:tcPr>
            <w:tcW w:type="dxa" w:w="2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NSR-10 (Título K) / seguridad humana; planos aprobados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Aguas lluvias, fachada posterior del muro perimetral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 solución de evacuación no opera; hay empozamiento y riesgo de socavación y de proliferación de vectores.</w:t>
            </w:r>
          </w:p>
        </w:tc>
        <w:tc>
          <w:tcPr>
            <w:tcW w:type="dxa" w:w="2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Licencia LC-0274; Informe Técnico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Subestación eléctrica (19,15 m²) y área del transformador (18,39 m²)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 Escritura 3844 (pág. 26) las clasifica como bienes comunes, pero la Respuesta #70656 sostiene que se enajenaron a CENS S.A. E.S.P. No se ha entregado la garantía del transformador de 300 kVA (serie 479492) ni de la planta de 169 kVA.</w:t>
            </w:r>
          </w:p>
        </w:tc>
        <w:tc>
          <w:tcPr>
            <w:tcW w:type="dxa" w:w="2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Escritura 3844; Ley 675 de 2001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Cerramiento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Malla eslabonada deteriorada y con huecos (parqueaderos 307c, 201c y 202c), en lugar de la reja metálica en tubo cuadrado de 459,42 m aprobada en la licencia.</w:t>
            </w:r>
          </w:p>
        </w:tc>
        <w:tc>
          <w:tcPr>
            <w:tcW w:type="dxa" w:w="2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Licencia LC-0274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Parqueadero C203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Maniobra e ingreso anulados por un árbol adyacente; no hay reubicación ni compensación, pese al precedente de la Licencia LC-0497 (7 cupos reubicados por especies arbóreas).</w:t>
            </w:r>
          </w:p>
        </w:tc>
        <w:tc>
          <w:tcPr>
            <w:tcW w:type="dxa" w:w="2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Licencia LC-0497</w:t>
            </w:r>
          </w:p>
        </w:tc>
      </w:tr>
    </w:tbl>
    <w:p>
      <w:pPr>
        <w:keepNext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Subestación eléctrica: solicitud específica</w:t>
      </w:r>
    </w:p>
    <w:p>
      <w:pPr>
        <w:spacing w:after="14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Si la constructora sostiene que estas áreas fueron enajenadas a CENS S.A. E.S.P., solicitamos que, en el término de [10] días hábiles, aporte: (i) la escritura o el documento de transferencia y su certificado de tradición; (ii) la explicación de por qué el RPH las incluyó como bienes comunes y cuál es el fundamento para cobrar a los propietarios su coeficiente y expensas; y (iii) los certificados de garantía del fabricante del transformador y de la planta eléctrica, con la cesión o el mecanismo para hacerlos efectivos. Mientras tanto, la copropiedad no acepta que la infraestructura eléctrica común quede sin respaldo de garantía.</w:t>
      </w:r>
    </w:p>
    <w:p>
      <w:pPr>
        <w:keepNext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Garantía legal y falta de recibo</w:t>
      </w:r>
    </w:p>
    <w:p>
      <w:pPr>
        <w:spacing w:after="14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La copropiedad no ha recibido a satisfacción las zonas comunes. Por ello considera que la garantía legal (Ley 1480 de 2011, arts. 7 y 8, y la estabilidad de obra del art. 2060 del Código Civil) no ha comenzado a correr en perjuicio de los propietarios, ni puede darse por vencida con base en las fechas de fábrica de los equipos [verificar]. Conforme al art. 24 de la Ley 675 de 2001 y al art. 1609 del Código Civil, mientras no se subsanen los hallazgos la copropiedad no suscribirá acta de recibo, y la guarda, el mantenimiento y la responsabilidad por las zonas comunes pendientes corresponden a la constructora. Esta comunicación constituye reclamación directa previa y constitución en mora.</w:t>
      </w:r>
    </w:p>
    <w:p>
      <w:pPr>
        <w:keepNext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Requerimiento</w:t>
      </w:r>
    </w:p>
    <w:p>
      <w:pPr>
        <w:spacing w:after="14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En un plazo de cinco (5) días hábiles contados desde su recepción, solicitamos: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Un cronograma de intervención con fechas por hallazgo, respaldado con póliza de cumplimiento.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La respuesta y los documentos del numeral 2.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Dentro de 48 horas, confirmar por escrito el recibo de esta comunicación y designar un interlocutor técnico con facultades de decisión.</w:t>
      </w:r>
    </w:p>
    <w:p>
      <w:pPr>
        <w:spacing w:after="140" w:before="100"/>
        <w:jc w:val="both"/>
      </w:pPr>
      <w:r>
        <w:rPr>
          <w:rFonts w:ascii="Arial" w:cs="Arial" w:eastAsia="Arial" w:hAnsi="Arial"/>
          <w:sz w:val="22"/>
          <w:szCs w:val="22"/>
        </w:rPr>
        <w:t xml:space="preserve">Estamos dispuestos a una mesa técnica o audiencia de conciliación dentro de ese término, sin que ello suspenda los plazos ni implique renuncia a ningún derecho.</w:t>
      </w:r>
    </w:p>
    <w:p>
      <w:pPr>
        <w:keepNext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Consecuencias del incumplimiento</w:t>
      </w:r>
    </w:p>
    <w:p>
      <w:pPr>
        <w:spacing w:after="14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Vencido el plazo sin respuesta efectiva, la copropiedad iniciará, sin más avisos: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Acción jurisdiccional ante la SIC</w:t>
      </w:r>
      <w:r>
        <w:rPr>
          <w:rFonts w:ascii="Arial" w:cs="Arial" w:eastAsia="Arial" w:hAnsi="Arial"/>
          <w:sz w:val="22"/>
          <w:szCs w:val="22"/>
        </w:rPr>
        <w:t xml:space="preserve"> por efectividad de la garantía, con medidas cautelares sobre los hallazgos 1, 2, 3 y 4, vinculando a Fiduciaria Corficolombiana S.A., como vocera del patrimonio autónomo, [con el fundamento que indique el abogado].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Solicitud de investigación administrativa ante la SIC</w:t>
      </w:r>
      <w:r>
        <w:rPr>
          <w:rFonts w:ascii="Arial" w:cs="Arial" w:eastAsia="Arial" w:hAnsi="Arial"/>
          <w:sz w:val="22"/>
          <w:szCs w:val="22"/>
        </w:rPr>
        <w:t xml:space="preserve"> por posible infracción a las normas de calidad, idoneidad e información (multas de hasta 2.000 SMMLV, Ley 1480, art. 61).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Puesta en conocimiento de la Curaduría Urbana / Secretaría de Planeación</w:t>
      </w:r>
      <w:r>
        <w:rPr>
          <w:rFonts w:ascii="Arial" w:cs="Arial" w:eastAsia="Arial" w:hAnsi="Arial"/>
          <w:sz w:val="22"/>
          <w:szCs w:val="22"/>
        </w:rPr>
        <w:t xml:space="preserve"> por las diferencias con la licencia, y de la Oficina de Gestión del Riesgo por los riesgos en rutas de evacuación y drenaje.</w:t>
      </w:r>
    </w:p>
    <w:p>
      <w:pPr>
        <w:spacing w:after="140" w:before="140"/>
        <w:jc w:val="both"/>
      </w:pPr>
      <w:r>
        <w:rPr>
          <w:rFonts w:ascii="Arial" w:cs="Arial" w:eastAsia="Arial" w:hAnsi="Arial"/>
          <w:sz w:val="22"/>
          <w:szCs w:val="22"/>
        </w:rPr>
        <w:t xml:space="preserve">Quedamos atentos.</w:t>
      </w:r>
    </w:p>
    <w:p>
      <w:pPr>
        <w:spacing w:after="600"/>
        <w:jc w:val="left"/>
      </w:pPr>
      <w:r>
        <w:rPr>
          <w:rFonts w:ascii="Arial" w:cs="Arial" w:eastAsia="Arial" w:hAnsi="Arial"/>
          <w:sz w:val="22"/>
          <w:szCs w:val="22"/>
        </w:rPr>
        <w:t xml:space="preserve">Atentamente,</w:t>
      </w:r>
    </w:p>
    <w:p>
      <w:pPr>
        <w:spacing w:after="0"/>
        <w:jc w:val="left"/>
      </w:pPr>
      <w:r>
        <w:rPr>
          <w:rFonts w:ascii="Arial" w:cs="Arial" w:eastAsia="Arial" w:hAnsi="Arial"/>
          <w:sz w:val="22"/>
          <w:szCs w:val="22"/>
        </w:rPr>
        <w:t xml:space="preserve">______________________________</w:t>
      </w:r>
    </w:p>
    <w:p>
      <w:pPr>
        <w:spacing w:after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NELSON ENRIQUE RODRÍGUEZ</w:t>
      </w:r>
    </w:p>
    <w:p>
      <w:pPr>
        <w:spacing w:after="400"/>
        <w:jc w:val="left"/>
      </w:pPr>
      <w:r>
        <w:rPr>
          <w:rFonts w:ascii="Arial" w:cs="Arial" w:eastAsia="Arial" w:hAnsi="Arial"/>
          <w:sz w:val="22"/>
          <w:szCs w:val="22"/>
        </w:rPr>
        <w:t xml:space="preserve">Representante Legal – Conjunto Palladium Apartamentos P.H.</w:t>
      </w:r>
    </w:p>
    <w:p>
      <w:pPr>
        <w:spacing w:after="0"/>
        <w:jc w:val="left"/>
      </w:pPr>
      <w:r>
        <w:rPr>
          <w:rFonts w:ascii="Arial" w:cs="Arial" w:eastAsia="Arial" w:hAnsi="Arial"/>
          <w:sz w:val="22"/>
          <w:szCs w:val="22"/>
        </w:rPr>
        <w:t xml:space="preserve">______________________________</w:t>
      </w:r>
    </w:p>
    <w:p>
      <w:pPr>
        <w:spacing w:after="300"/>
        <w:jc w:val="left"/>
      </w:pPr>
      <w:r>
        <w:rPr>
          <w:rFonts w:ascii="Arial" w:cs="Arial" w:eastAsia="Arial" w:hAnsi="Arial"/>
          <w:sz w:val="22"/>
          <w:szCs w:val="22"/>
        </w:rPr>
        <w:t xml:space="preserve">[Miembros del Comité de Recibo de Zonas Comunes]</w:t>
      </w:r>
    </w:p>
    <w:p>
      <w:pPr>
        <w:spacing w:after="14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Anexos: </w:t>
      </w:r>
      <w:r>
        <w:rPr>
          <w:rFonts w:ascii="Arial" w:cs="Arial" w:eastAsia="Arial" w:hAnsi="Arial"/>
          <w:sz w:val="22"/>
          <w:szCs w:val="22"/>
        </w:rPr>
        <w:t xml:space="preserve">(1) Informe técnico; (2) registro fotográfico; (3) Actas TA-Urb y TB; (4) Radicados #70656 y #72732; (5) Escritura 3844, pág. 26; (6) Licencias LC-0274 y LC-0497.</w:t>
      </w:r>
    </w:p>
    <w:p>
      <w:pPr>
        <w:spacing w:after="14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Copia a: </w:t>
      </w:r>
      <w:r>
        <w:rPr>
          <w:rFonts w:ascii="Arial" w:cs="Arial" w:eastAsia="Arial" w:hAnsi="Arial"/>
          <w:sz w:val="22"/>
          <w:szCs w:val="22"/>
        </w:rPr>
        <w:t xml:space="preserve">Fiduciaria Corficolombiana S.A.; Personería Municipal de Cúcuta; Oficina de Gestión del Riesgo; Curaduría Urbana / Secretaría de Planeación.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2026-10-13T19:31:23.357Z</dcterms:created>
  <dcterms:modified xsi:type="dcterms:W3CDTF">2026-10-13T19:31:23.358Z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