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Arial" w:cs="Arial" w:eastAsia="Arial" w:hAnsi="Arial"/>
          <w:b/>
          <w:bCs/>
          <w:color w:val="2F5D50"/>
          <w:sz w:val="40"/>
          <w:szCs w:val="40"/>
        </w:rPr>
        <w:t xml:space="preserve">PROPUESTA TÉCNICA DE SERVICIOS</w:t>
      </w:r>
    </w:p>
    <w:p>
      <w:pPr>
        <w:spacing w:after="240"/>
      </w:pPr>
      <w:r>
        <w:rPr>
          <w:rFonts w:ascii="Arial" w:cs="Arial" w:eastAsia="Arial" w:hAnsi="Arial"/>
          <w:sz w:val="30"/>
          <w:szCs w:val="30"/>
        </w:rPr>
        <w:t xml:space="preserve">Recibo documental y físico de vivienda</w:t>
      </w:r>
    </w:p>
    <w:p>
      <w:pPr>
        <w:pBdr>
          <w:top w:val="single" w:color="2F5D50" w:sz="12" w:space="8"/>
        </w:pBd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6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Inmueble</w:t>
            </w:r>
          </w:p>
        </w:tc>
        <w:tc>
          <w:tcPr>
            <w:tcW w:type="dxa" w:w="6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Casa Terraza – vivienda unifamiliar de dos pisos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Localización</w:t>
            </w:r>
          </w:p>
        </w:tc>
        <w:tc>
          <w:tcPr>
            <w:tcW w:type="dxa" w:w="6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Villa del Rosario, Norte de Santander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Constructor</w:t>
            </w:r>
          </w:p>
        </w:tc>
        <w:tc>
          <w:tcPr>
            <w:tcW w:type="dxa" w:w="6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Eco Construcciones Versátiles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Diseño arquitectónico</w:t>
            </w:r>
          </w:p>
        </w:tc>
        <w:tc>
          <w:tcPr>
            <w:tcW w:type="dxa" w:w="6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Habitat Architects (planos abr-2025, revisión 5/5)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Cliente / Propietario</w:t>
            </w:r>
          </w:p>
        </w:tc>
        <w:tc>
          <w:tcPr>
            <w:tcW w:type="dxa" w:w="6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[Nombre del cliente]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Presentado por</w:t>
            </w:r>
          </w:p>
        </w:tc>
        <w:tc>
          <w:tcPr>
            <w:tcW w:type="dxa" w:w="6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MAP Ingeniería – [Nombre del profesional responsable, M.P. ____]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Fecha de la propuesta</w:t>
            </w:r>
          </w:p>
        </w:tc>
        <w:tc>
          <w:tcPr>
            <w:tcW w:type="dxa" w:w="6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18 de octubre de 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</w:t>
            </w:r>
          </w:p>
        </w:tc>
        <w:tc>
          <w:tcPr>
            <w:tcW w:type="dxa" w:w="6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 – para revisión y ajuste con el cliente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1. Objeto y propósito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Esta propuesta describe, de forma completa y ordenada, los servicios que presta MAP Ingeniería antes, durante y después de la entrega de la vivienda Casa Terraza: qué se hace, hasta dónde llega cada actividad, qué documentos recibe el cliente, en qué tiempos y con qué acompañamiento.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Qué buscamos para el cliente: </w:t>
      </w:r>
      <w:r>
        <w:rPr>
          <w:rFonts w:ascii="Arial" w:cs="Arial" w:eastAsia="Arial" w:hAnsi="Arial"/>
          <w:sz w:val="21"/>
          <w:szCs w:val="21"/>
        </w:rPr>
        <w:t xml:space="preserve">que reciba la vivienda construida conforme a los planos, las normas y las condiciones pactadas con el constructor; que cualquier defecto quede registrado y se corrija antes de aceptar la entrega; y que conserve un soporte técnico y documental que respalde sus reclamaciones de garantía.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2. El inmueble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Según los planos arquitectónicos suministrados (planta primer piso, planta segundo piso, planta de cubierta, cortes A-A, B-B y C-C, y fachada frontal), la vivienda tiene las siguientes características relevantes para el recibo: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Nivel / zona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Espacios y elementos a recibir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Primer piso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Cocina con isla y sala integradas; terraza interior con árbol y jardinera; zona BBQ; bodega y zona de aseo con desagüe; baño social; estudio/comedor auxiliar con cocineta; garaje cubierto para dos vehículos; zona social exterior (terraza) y andenes en adoquín/piedra; escaleras.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Segundo piso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Alcoba principal con baño, vestier y balcón; alcobas 1 y 2 con closets; baños; bodegas; vacío sobre la terraza interior; escaleras.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Cubierta y fachada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Placa/cubierta, mampostería vista y enchape en piedra, ventanería y carpintería metálica/vidrio, iluminación de fachada, antejardín y cerramiento.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Sistemas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Estructura en concreto y mampostería; redes hidrosanitarias, aguas lluvias y desagües; red eléctrica, iluminación y comunicaciones; gas (si aplica); impermeabilización de placas y terrazas; carpintería, cerrajería, aparatos sanitarios, griferías y acabados.</w:t>
            </w:r>
          </w:p>
        </w:tc>
      </w:tr>
    </w:tbl>
    <w:p>
      <w:pPr>
        <w:spacing w:after="120" w:before="100"/>
      </w:pPr>
      <w:r>
        <w:rPr>
          <w:rFonts w:ascii="Arial" w:cs="Arial" w:eastAsia="Arial" w:hAnsi="Arial"/>
          <w:sz w:val="21"/>
          <w:szCs w:val="21"/>
        </w:rPr>
        <w:t xml:space="preserve">Nota: las áreas, especificaciones de acabados y alcance final de obra se tomarán del cuadro de áreas, las memorias, la licencia de construcción y el contrato o promesa de compraventa, que el cliente debe suministrar (ver sección 10).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3. Visión general del servicio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600"/>
        <w:gridCol w:w="3860"/>
      </w:tblGrid>
      <w:tr>
        <w:trPr>
          <w:tblHeader/>
        </w:trPr>
        <w:tc>
          <w:tcPr>
            <w:tcW w:type="dxa" w:w="19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3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incluye</w:t>
            </w:r>
          </w:p>
        </w:tc>
        <w:tc>
          <w:tcPr>
            <w:tcW w:type="dxa" w:w="38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 para el cliente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A. ANTES de la entrega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(preparación y revisión documental)</w:t>
            </w:r>
          </w:p>
        </w:tc>
        <w:tc>
          <w:tcPr>
            <w:tcW w:type="dxa" w:w="3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Reunión de inicio, recopilación y revisión de documentos, verificación de lo construido frente a lo aprobado y pactado, plan de inspección y checklist a la medida.</w:t>
            </w:r>
          </w:p>
        </w:tc>
        <w:tc>
          <w:tcPr>
            <w:tcW w:type="dxa" w:w="38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Informe documental con faltantes y observaciones; el cliente llega a la entrega informado y con criterios claros.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B. DURANTE la entrega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(inspección física y acta)</w:t>
            </w:r>
          </w:p>
        </w:tc>
        <w:tc>
          <w:tcPr>
            <w:tcW w:type="dxa" w:w="3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Inspección técnica detallada en sitio, pruebas funcionales, registro fotográfico y medición, listado de hallazgos clasificados, acompañamiento en la diligencia con el constructor.</w:t>
            </w:r>
          </w:p>
        </w:tc>
        <w:tc>
          <w:tcPr>
            <w:tcW w:type="dxa" w:w="38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Acta de recibo con pendientes (o rechazo motivado) e informe de inspección con evidencia.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C. DESPUÉS de la entrega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(seguimiento y posventa)</w:t>
            </w:r>
          </w:p>
        </w:tc>
        <w:tc>
          <w:tcPr>
            <w:tcW w:type="dxa" w:w="3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Seguimiento a la corrección de pendientes, reinspección, recibo final y visitas de control durante el período de garantía.</w:t>
            </w:r>
          </w:p>
        </w:tc>
        <w:tc>
          <w:tcPr>
            <w:tcW w:type="dxa" w:w="38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Cierre verificado de pendientes, informe final y soporte técnico para reclamaciones.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4. Etapa A – Antes de la entrega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4.1 Reunión de inicio y definición de criterios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Reunión con el cliente (virtual o presencial) para confirmar alcance, expectativas, fechas probables de entrega y contacto en la constructora.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Revisión de lo conversado previamente y de lo pactado en el contrato o promesa de compraventa (acabados, áreas, garantías, plazos).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Definición del criterio de aceptación: tolerancias, clasificación de hallazgos y qué se considera causal de no recibir.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4.2 Recibo documental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Se revisa que la documentación esté completa, vigente y sea coherente entre sí y con lo construido. La lista detallada está en el Anexo B. En resumen: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Legal y urbanística: </w:t>
      </w:r>
      <w:r>
        <w:rPr>
          <w:rFonts w:ascii="Arial" w:cs="Arial" w:eastAsia="Arial" w:hAnsi="Arial"/>
          <w:sz w:val="21"/>
          <w:szCs w:val="21"/>
        </w:rPr>
        <w:t xml:space="preserve">licencia de construcción y sus modificaciones, planos aprobados, coherencia entre licencia, planos récord y obra ejecutada, y trámites de ocupación/entrega que apliquen.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Técnica: </w:t>
      </w:r>
      <w:r>
        <w:rPr>
          <w:rFonts w:ascii="Arial" w:cs="Arial" w:eastAsia="Arial" w:hAnsi="Arial"/>
          <w:sz w:val="21"/>
          <w:szCs w:val="21"/>
        </w:rPr>
        <w:t xml:space="preserve">planos arquitectónicos, estructurales, hidrosanitarios, eléctricos y de gas (récord o as-built), memorias de cálculo, estudio de suelos, especificaciones técnicas.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Calidad de obra: </w:t>
      </w:r>
      <w:r>
        <w:rPr>
          <w:rFonts w:ascii="Arial" w:cs="Arial" w:eastAsia="Arial" w:hAnsi="Arial"/>
          <w:sz w:val="21"/>
          <w:szCs w:val="21"/>
        </w:rPr>
        <w:t xml:space="preserve">resultados de ensayos de concreto, certificados de materiales y equipos, actas de pruebas de redes, bitácora y reportes de supervisión técnica, cuando existan.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Certificaciones de instalaciones: </w:t>
      </w:r>
      <w:r>
        <w:rPr>
          <w:rFonts w:ascii="Arial" w:cs="Arial" w:eastAsia="Arial" w:hAnsi="Arial"/>
          <w:sz w:val="21"/>
          <w:szCs w:val="21"/>
        </w:rPr>
        <w:t xml:space="preserve">certificación eléctrica (RETIE) y de iluminación (RETILAP) cuando apliquen, certificación de gas y de redes hidrosanitarias, y paz y salvos de servicios públicos.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Garantías y manuales: </w:t>
      </w:r>
      <w:r>
        <w:rPr>
          <w:rFonts w:ascii="Arial" w:cs="Arial" w:eastAsia="Arial" w:hAnsi="Arial"/>
          <w:sz w:val="21"/>
          <w:szCs w:val="21"/>
        </w:rPr>
        <w:t xml:space="preserve">garantías de equipos, ventanería, impermeabilización, cocina, aparatos y acabados; manuales de uso y mantenimiento; cartilla del propietario.</w:t>
      </w:r>
    </w:p>
    <w:p>
      <w:pPr>
        <w:spacing w:after="120" w:before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Entregable de la etapa: </w:t>
      </w:r>
      <w:r>
        <w:rPr>
          <w:rFonts w:ascii="Arial" w:cs="Arial" w:eastAsia="Arial" w:hAnsi="Arial"/>
          <w:sz w:val="21"/>
          <w:szCs w:val="21"/>
        </w:rPr>
        <w:t xml:space="preserve">Informe documental (matriz de verificación: recibido / faltante / observación) con la lista de documentos que el constructor debe completar antes o junto con la entrega.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4.3 Plan de inspección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Checklist por espacio y por sistema, adaptado a esta vivienda a partir de los planos (Anexo A).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Definición de pruebas, equipos de medición e insumos necesarios y coordinación de acceso a servicios (agua, energía, gas) el día de la visita.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Coordinación con la constructora de fecha, hora y duración de la inspección.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5. Etapa B – Durante la entrega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 Inspección física en sitio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Inspección técnica detallada de toda la vivienda, con registro fotográfico y marcación de cada hallazgo. Incluye, entre otros: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Estructura y obra gris: </w:t>
      </w:r>
      <w:r>
        <w:rPr>
          <w:rFonts w:ascii="Arial" w:cs="Arial" w:eastAsia="Arial" w:hAnsi="Arial"/>
          <w:sz w:val="21"/>
          <w:szCs w:val="21"/>
        </w:rPr>
        <w:t xml:space="preserve">fisuras y grietas, plomos, niveles y escuadras, calidad de muros, placas, vigas y escaleras, vacío y barandas, y cumplimiento visible de lo indicado en planos.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Cubierta, terrazas e impermeabilización: </w:t>
      </w:r>
      <w:r>
        <w:rPr>
          <w:rFonts w:ascii="Arial" w:cs="Arial" w:eastAsia="Arial" w:hAnsi="Arial"/>
          <w:sz w:val="21"/>
          <w:szCs w:val="21"/>
        </w:rPr>
        <w:t xml:space="preserve">pendientes, empozamientos, remates, bajantes, canales y desagües; prueba de estanqueidad o inspección de humedades cuando sea viable.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Redes hidrosanitarias: </w:t>
      </w:r>
      <w:r>
        <w:rPr>
          <w:rFonts w:ascii="Arial" w:cs="Arial" w:eastAsia="Arial" w:hAnsi="Arial"/>
          <w:sz w:val="21"/>
          <w:szCs w:val="21"/>
        </w:rPr>
        <w:t xml:space="preserve">presión y caudal, fugas, funcionamiento de aparatos sanitarios y griferías, sifones, desagües (zona de aseo, BBQ, terrazas, patios), ventilación y aguas lluvias.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Redes eléctricas y comunicaciones: </w:t>
      </w:r>
      <w:r>
        <w:rPr>
          <w:rFonts w:ascii="Arial" w:cs="Arial" w:eastAsia="Arial" w:hAnsi="Arial"/>
          <w:sz w:val="21"/>
          <w:szCs w:val="21"/>
        </w:rPr>
        <w:t xml:space="preserve">tablero y protecciones, tomas, interruptores e iluminación, polo a tierra, continuidad y circuitos, iluminación de fachada, puntos de datos/TV.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Gas y equipos (si aplica): </w:t>
      </w:r>
      <w:r>
        <w:rPr>
          <w:rFonts w:ascii="Arial" w:cs="Arial" w:eastAsia="Arial" w:hAnsi="Arial"/>
          <w:sz w:val="21"/>
          <w:szCs w:val="21"/>
        </w:rPr>
        <w:t xml:space="preserve">estado visible de la red, ventilación, puntos de conexión y documentación de pruebas de hermeticidad.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Carpintería y cerrajería: </w:t>
      </w:r>
      <w:r>
        <w:rPr>
          <w:rFonts w:ascii="Arial" w:cs="Arial" w:eastAsia="Arial" w:hAnsi="Arial"/>
          <w:sz w:val="21"/>
          <w:szCs w:val="21"/>
        </w:rPr>
        <w:t xml:space="preserve">puertas, ventanas, ventanería, vidrios, cerraduras, closets, muebles de cocina y baños; funcionamiento, ajuste, sellos y accesorios.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Acabados: </w:t>
      </w:r>
      <w:r>
        <w:rPr>
          <w:rFonts w:ascii="Arial" w:cs="Arial" w:eastAsia="Arial" w:hAnsi="Arial"/>
          <w:sz w:val="21"/>
          <w:szCs w:val="21"/>
        </w:rPr>
        <w:t xml:space="preserve">pisos y enchapes (incluida la piedra de fachada), pintura, estucos, cielos, juntas y remates; nivelación, sonido a hueco y manchas.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Exteriores: </w:t>
      </w:r>
      <w:r>
        <w:rPr>
          <w:rFonts w:ascii="Arial" w:cs="Arial" w:eastAsia="Arial" w:hAnsi="Arial"/>
          <w:sz w:val="21"/>
          <w:szCs w:val="21"/>
        </w:rPr>
        <w:t xml:space="preserve">garaje, andenes, antejardín, zonas verdes, cerramiento y drenajes.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 Clasificación de hallazgos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00"/>
        <w:gridCol w:w="3460"/>
      </w:tblGrid>
      <w:tr>
        <w:trPr>
          <w:tblHeader/>
        </w:trPr>
        <w:tc>
          <w:tcPr>
            <w:tcW w:type="dxa" w:w="17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34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Tratamiento recomendado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Crítico</w:t>
            </w:r>
          </w:p>
        </w:tc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Compromete seguridad, estabilidad, funcionalidad esencial o incumple norma o planos aprobados.</w:t>
            </w:r>
          </w:p>
        </w:tc>
        <w:tc>
          <w:tcPr>
            <w:tcW w:type="dxa" w:w="34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Debe resolverse antes de aceptar la entrega; puede motivar el no recibo.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Mayor</w:t>
            </w:r>
          </w:p>
        </w:tc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Afecta uso, durabilidad o valor, pero no la seguridad inmediata.</w:t>
            </w:r>
          </w:p>
        </w:tc>
        <w:tc>
          <w:tcPr>
            <w:tcW w:type="dxa" w:w="34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Corrección con plazo pactado en el acta; seguimiento por MAP.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Menor / estético</w:t>
            </w:r>
          </w:p>
        </w:tc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Defecto de acabado o ajuste sin efecto funcional.</w:t>
            </w:r>
          </w:p>
        </w:tc>
        <w:tc>
          <w:tcPr>
            <w:tcW w:type="dxa" w:w="34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Corrección en el plazo pactado; reinspección en visita de cierre.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 Acompañamiento en la diligencia de entrega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Presencia del profesional de MAP durante la entrega formal entre constructor y cliente, apoyando al cliente en la discusión técnica.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Recomendación al cliente sobre si recibir, recibir con pendientes o no recibir, con soporte técnico.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Apoyo en la redacción del acta de recibo: listado de pendientes, responsables, plazos de corrección y observaciones del cliente. Se recomienda no firmar la aceptación sin que los pendientes queden consignados.</w:t>
      </w:r>
    </w:p>
    <w:p>
      <w:pPr>
        <w:spacing w:after="120" w:before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Entregables de la etapa: </w:t>
      </w:r>
      <w:r>
        <w:rPr>
          <w:rFonts w:ascii="Arial" w:cs="Arial" w:eastAsia="Arial" w:hAnsi="Arial"/>
          <w:sz w:val="21"/>
          <w:szCs w:val="21"/>
        </w:rPr>
        <w:t xml:space="preserve">Informe de inspección con registro fotográfico y listado de hallazgos (punch list); acta de recibo con pendientes; concepto técnico sobre la aceptación.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6. Etapa C – Después de la entrega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Seguimiento a pendientes: </w:t>
      </w:r>
      <w:r>
        <w:rPr>
          <w:rFonts w:ascii="Arial" w:cs="Arial" w:eastAsia="Arial" w:hAnsi="Arial"/>
          <w:sz w:val="21"/>
          <w:szCs w:val="21"/>
        </w:rPr>
        <w:t xml:space="preserve">control del avance de las correcciones acordadas con el constructor, con recordatorios y comunicación técnica a nombre del cliente.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Reinspección: </w:t>
      </w:r>
      <w:r>
        <w:rPr>
          <w:rFonts w:ascii="Arial" w:cs="Arial" w:eastAsia="Arial" w:hAnsi="Arial"/>
          <w:sz w:val="21"/>
          <w:szCs w:val="21"/>
        </w:rPr>
        <w:t xml:space="preserve">visita para verificar que cada pendiente fue corregido correctamente, con evidencia fotográfica antes/después.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Recibo final: </w:t>
      </w:r>
      <w:r>
        <w:rPr>
          <w:rFonts w:ascii="Arial" w:cs="Arial" w:eastAsia="Arial" w:hAnsi="Arial"/>
          <w:sz w:val="21"/>
          <w:szCs w:val="21"/>
        </w:rPr>
        <w:t xml:space="preserve">acta de cierre cuando todos los pendientes críticos y mayores estén resueltos; los menores pendientes quedan consignados con fecha.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Visitas de control en garantía: </w:t>
      </w:r>
      <w:r>
        <w:rPr>
          <w:rFonts w:ascii="Arial" w:cs="Arial" w:eastAsia="Arial" w:hAnsi="Arial"/>
          <w:sz w:val="21"/>
          <w:szCs w:val="21"/>
        </w:rPr>
        <w:t xml:space="preserve">dos visitas durante el primer año (por ejemplo a los 3 y a los 11 meses) para revisar el comportamiento de fisuras, humedades, impermeabilización, ventanería y redes tras el período lluvioso, y radicar oportunamente las reclamaciones.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Soporte para reclamaciones: </w:t>
      </w:r>
      <w:r>
        <w:rPr>
          <w:rFonts w:ascii="Arial" w:cs="Arial" w:eastAsia="Arial" w:hAnsi="Arial"/>
          <w:sz w:val="21"/>
          <w:szCs w:val="21"/>
        </w:rPr>
        <w:t xml:space="preserve">conceptos técnicos y documentos que respalden la solicitud de garantía ante el constructor (garantías legales y contractuales aplicables).</w:t>
      </w:r>
    </w:p>
    <w:p>
      <w:pPr>
        <w:spacing w:after="120" w:before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Entregables de la etapa: </w:t>
      </w:r>
      <w:r>
        <w:rPr>
          <w:rFonts w:ascii="Arial" w:cs="Arial" w:eastAsia="Arial" w:hAnsi="Arial"/>
          <w:sz w:val="21"/>
          <w:szCs w:val="21"/>
        </w:rPr>
        <w:t xml:space="preserve">Informe de reinspección, acta de recibo final, informes de visitas de garantía y concepto técnico para reclamaciones, cuando se requiera.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7. Cuadro resumen de entregables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2200"/>
        <w:gridCol w:w="3060"/>
      </w:tblGrid>
      <w:tr>
        <w:trPr>
          <w:tblHeader/>
        </w:trPr>
        <w:tc>
          <w:tcPr>
            <w:tcW w:type="dxa" w:w="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35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Entregable</w:t>
            </w:r>
          </w:p>
        </w:tc>
        <w:tc>
          <w:tcPr>
            <w:tcW w:type="dxa" w:w="2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3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Formato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Acta de reunión de inicio y alcance confirmado</w:t>
            </w:r>
          </w:p>
        </w:tc>
        <w:tc>
          <w:tcPr>
            <w:tcW w:type="dxa" w:w="2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Informe documental (matriz de verificación)</w:t>
            </w:r>
          </w:p>
        </w:tc>
        <w:tc>
          <w:tcPr>
            <w:tcW w:type="dxa" w:w="2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 / Excel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Checklist de inspección a la medida de la vivienda</w:t>
            </w:r>
          </w:p>
        </w:tc>
        <w:tc>
          <w:tcPr>
            <w:tcW w:type="dxa" w:w="2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 / Excel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Informe de inspección con registro fotográfico</w:t>
            </w:r>
          </w:p>
        </w:tc>
        <w:tc>
          <w:tcPr>
            <w:tcW w:type="dxa" w:w="2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5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Listado de hallazgos clasificados (punch list)</w:t>
            </w:r>
          </w:p>
        </w:tc>
        <w:tc>
          <w:tcPr>
            <w:tcW w:type="dxa" w:w="2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5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Acta de recibo con pendientes y concepto de aceptación</w:t>
            </w:r>
          </w:p>
        </w:tc>
        <w:tc>
          <w:tcPr>
            <w:tcW w:type="dxa" w:w="2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5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Informe de reinspección y evidencias de corrección</w:t>
            </w:r>
          </w:p>
        </w:tc>
        <w:tc>
          <w:tcPr>
            <w:tcW w:type="dxa" w:w="2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5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Acta de recibo final</w:t>
            </w:r>
          </w:p>
        </w:tc>
        <w:tc>
          <w:tcPr>
            <w:tcW w:type="dxa" w:w="2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35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Informes de visitas de control en garantía (2)</w:t>
            </w:r>
          </w:p>
        </w:tc>
        <w:tc>
          <w:tcPr>
            <w:tcW w:type="dxa" w:w="2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8. Tiempos estimados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Los plazos son estimados y se confirman al aceptar la propuesta, según la disponibilidad de documentos y la fecha de entrega fijada por el constructor. Días hábiles.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760"/>
      </w:tblGrid>
      <w:tr>
        <w:trPr>
          <w:tblHeader/>
        </w:trPr>
        <w:tc>
          <w:tcPr>
            <w:tcW w:type="dxa" w:w="3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Actividad</w:t>
            </w:r>
          </w:p>
        </w:tc>
        <w:tc>
          <w:tcPr>
            <w:tcW w:type="dxa" w:w="24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 estimada</w:t>
            </w:r>
          </w:p>
        </w:tc>
        <w:tc>
          <w:tcPr>
            <w:tcW w:type="dxa" w:w="3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Reunión de inicio</w:t>
            </w:r>
          </w:p>
        </w:tc>
        <w:tc>
          <w:tcPr>
            <w:tcW w:type="dxa" w:w="24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 días</w:t>
            </w:r>
          </w:p>
        </w:tc>
        <w:tc>
          <w:tcPr>
            <w:tcW w:type="dxa" w:w="3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Tras la aceptación de la propuesta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Revisión documental e informe</w:t>
            </w:r>
          </w:p>
        </w:tc>
        <w:tc>
          <w:tcPr>
            <w:tcW w:type="dxa" w:w="24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3–5 días</w:t>
            </w:r>
          </w:p>
        </w:tc>
        <w:tc>
          <w:tcPr>
            <w:tcW w:type="dxa" w:w="3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Desde la recepción de los documentos completos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Plan de inspección y checklist</w:t>
            </w:r>
          </w:p>
        </w:tc>
        <w:tc>
          <w:tcPr>
            <w:tcW w:type="dxa" w:w="24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 días</w:t>
            </w:r>
          </w:p>
        </w:tc>
        <w:tc>
          <w:tcPr>
            <w:tcW w:type="dxa" w:w="3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 paralelo con la revisión documental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Inspección física en sitio</w:t>
            </w:r>
          </w:p>
        </w:tc>
        <w:tc>
          <w:tcPr>
            <w:tcW w:type="dxa" w:w="24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 jornadas</w:t>
            </w:r>
          </w:p>
        </w:tc>
        <w:tc>
          <w:tcPr>
            <w:tcW w:type="dxa" w:w="3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 servicios habilitados y vivienda accesible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Informe de inspección y punch list</w:t>
            </w:r>
          </w:p>
        </w:tc>
        <w:tc>
          <w:tcPr>
            <w:tcW w:type="dxa" w:w="24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días</w:t>
            </w:r>
          </w:p>
        </w:tc>
        <w:tc>
          <w:tcPr>
            <w:tcW w:type="dxa" w:w="3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Desde la jornada de inspección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Diligencia de entrega y acta</w:t>
            </w:r>
          </w:p>
        </w:tc>
        <w:tc>
          <w:tcPr>
            <w:tcW w:type="dxa" w:w="24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jornada</w:t>
            </w:r>
          </w:p>
        </w:tc>
        <w:tc>
          <w:tcPr>
            <w:tcW w:type="dxa" w:w="3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Fecha acordada con el constructor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Reinspección</w:t>
            </w:r>
          </w:p>
        </w:tc>
        <w:tc>
          <w:tcPr>
            <w:tcW w:type="dxa" w:w="24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jornada</w:t>
            </w:r>
          </w:p>
        </w:tc>
        <w:tc>
          <w:tcPr>
            <w:tcW w:type="dxa" w:w="3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Dentro de los 2 días siguientes al aviso del constructor de que corrigió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Informe de reinspección / recibo final</w:t>
            </w:r>
          </w:p>
        </w:tc>
        <w:tc>
          <w:tcPr>
            <w:tcW w:type="dxa" w:w="24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2–3 días</w:t>
            </w:r>
          </w:p>
        </w:tc>
        <w:tc>
          <w:tcPr>
            <w:tcW w:type="dxa" w:w="3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Desde la reinspección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Visitas de control en garantía</w:t>
            </w:r>
          </w:p>
        </w:tc>
        <w:tc>
          <w:tcPr>
            <w:tcW w:type="dxa" w:w="24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visitas</w:t>
            </w:r>
          </w:p>
        </w:tc>
        <w:tc>
          <w:tcPr>
            <w:tcW w:type="dxa" w:w="37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Aprox. a los 3 y 11 meses de la entrega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9. Forma de acompañamiento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Un profesional responsable asignado, con matrícula profesional vigente, como interlocutor único del cliente.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Comunicación por WhatsApp y correo; respuesta a consultas técnicas en un plazo máximo de 1 día hábil.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Reportes de avance en cada etapa y reuniones de entrega de informes (virtuales o presenciales).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Equipos de apoyo: nivel, plomada, flexómetro y medidor láser, detector de humedad, tester eléctrico/polarímetro, manómetro, cámara y registro fotográfico georreferenciado.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10. Información y condiciones que requiere el cliente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Contrato, promesa de compraventa u otrosí que define especificaciones y garantías; cuadro de áreas y memorias de acabados.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Autorización del constructor para acceder a la vivienda y a la documentación, y confirmación de la fecha de entrega con anticipación mínima de 5 días hábiles.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Servicios de agua y energía activos el día de la inspección; llaves y accesos completos.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Que no se firme el acta de recibo definitiva sin contar con el concepto técnico de MAP.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11. Alcances y exclusiones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Para evitar malentendidos, este servicio es una inspección técnica de recibo, basada en observación, mediciones y pruebas funcionales no destructivas. En consecuencia: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No incluye ensayos de laboratorio, extracción de núcleos, patología estructural, estudios de suelos ni auditoría del cumplimiento sismorresistente (NSR-10); si durante la inspección se detectan indicios, se recomendará y cotizará aparte el estudio especializado.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No incluye certificaciones oficiales de redes (RETIE, gas, RETILAP), que corresponden a organismos acreditados; MAP verifica su existencia y coherencia.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No incluye la ejecución de reparaciones ni la representación judicial o trámites ante autoridades o entidades de vigilancia; sí incluye los conceptos técnicos de soporte.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Las áreas ocultas o inaccesibles el día de la visita (cielos cerrados, ductos, cimentación, redes enterradas) se evalúan solo con la documentación y evidencia disponibles.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Visitas adicionales a las incluidas (por ejemplo, por correcciones tardías o nuevas inspecciones) se facturan según tarifa por visita acordada.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12. Marco de referencia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Los criterios de revisión se apoyan, según aplique al proyecto y a lo que indique la licencia, en: planos y especificaciones aprobadas; Reglamento NSR-10; RETIE y RETILAP; normas técnicas de instalaciones hidrosanitarias y de gas; Decreto 1077 de 2015 (licencias y trámites de ocupación); Ley 1480 de 2011 (Estatuto del Consumidor) y Ley 1796 de 2016 (vivienda segura y garantías). La aplicación concreta de cada norma se confirmará con los documentos del proyecto.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13. Honorarios y condiciones comerciales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530"/>
        <w:gridCol w:w="2530"/>
      </w:tblGrid>
      <w:tr>
        <w:trPr>
          <w:tblHeader/>
        </w:trPr>
        <w:tc>
          <w:tcPr>
            <w:tcW w:type="dxa" w:w="4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253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253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Etapa A: recibo documental y plan de inspección</w:t>
            </w:r>
          </w:p>
        </w:tc>
        <w:tc>
          <w:tcPr>
            <w:tcW w:type="dxa" w:w="253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 [____]</w:t>
            </w:r>
          </w:p>
        </w:tc>
        <w:tc>
          <w:tcPr>
            <w:tcW w:type="dxa" w:w="253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Etapa B: inspección física, informe y acompañamiento en la entrega</w:t>
            </w:r>
          </w:p>
        </w:tc>
        <w:tc>
          <w:tcPr>
            <w:tcW w:type="dxa" w:w="253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 [____]</w:t>
            </w:r>
          </w:p>
        </w:tc>
        <w:tc>
          <w:tcPr>
            <w:tcW w:type="dxa" w:w="253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Etapa C: reinspección, recibo final y 2 visitas de garantía</w:t>
            </w:r>
          </w:p>
        </w:tc>
        <w:tc>
          <w:tcPr>
            <w:tcW w:type="dxa" w:w="253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 [____]</w:t>
            </w:r>
          </w:p>
        </w:tc>
        <w:tc>
          <w:tcPr>
            <w:tcW w:type="dxa" w:w="253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Valor total del servicio</w:t>
            </w:r>
          </w:p>
        </w:tc>
        <w:tc>
          <w:tcPr>
            <w:tcW w:type="dxa" w:w="253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 [____]</w:t>
            </w:r>
          </w:p>
        </w:tc>
        <w:tc>
          <w:tcPr>
            <w:tcW w:type="dxa" w:w="253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Incluye / no incluye IVA [___]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Visita adicional</w:t>
            </w:r>
          </w:p>
        </w:tc>
        <w:tc>
          <w:tcPr>
            <w:tcW w:type="dxa" w:w="253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 [____] por visita</w:t>
            </w:r>
          </w:p>
        </w:tc>
        <w:tc>
          <w:tcPr>
            <w:tcW w:type="dxa" w:w="253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Fuera del alcance base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Forma de pago sugerida: [__]% al aceptar la propuesta, [__]% contra entrega del informe de inspección, [__]% al cierre.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Vigencia de la propuesta: 30 días calendario desde su fecha.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Confidencialidad: la información del cliente y del inmueble se maneja de forma reservada.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rFonts w:ascii="Arial" w:cs="Arial" w:eastAsia="Arial" w:hAnsi="Arial"/>
          <w:sz w:val="21"/>
          <w:szCs w:val="21"/>
        </w:rPr>
        <w:t xml:space="preserve">Aceptación: con la firma de este documento o confirmación por escrito (correo/WhatsApp) se da inicio al servicio.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Por MAP Ingeniería</w:t>
            </w:r>
          </w:p>
        </w:tc>
        <w:tc>
          <w:tcPr>
            <w:tcW w:type="dxa" w:w="468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Aceptación del cliente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Nombre: [__]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M.P.: [__]</w:t>
            </w:r>
          </w:p>
        </w:tc>
        <w:tc>
          <w:tcPr>
            <w:tcW w:type="dxa" w:w="468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Nombre: [__]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C.C.: [__]    Fecha: [__]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Anexo A – Checklist base de inspección por espacio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Se ajusta en sitio contra los planos y las especificaciones contractuales.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Espacio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Puntos principales de verificación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Cocina y sala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Medidas frente a plano (7,15 × 4,00 m aprox.), muebles e isla, mesón, puntos hidráulicos y eléctricos, extractor, ventanería hacia terraza, pisos, nivelación, pintura.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Terraza interior (con árbol)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Impermeabilización, pendientes y desagües, jardinera, drenaje del árbol, enchape, barandas hacia el vacío, iluminación.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Zona BBQ y zona de aseo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Desagüe, punto de agua, ventilación, extractor/chimenea, mesón, pisos antideslizantes, puertas y cerrajería.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Estudio/comedor auxiliar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Cocineta, puntos hidráulicos y eléctricos, ventanería, escalera, pisos y acabados.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Baños (social y de alcobas)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Aparatos sanitarios, griferías, sifones, pendientes de ducha, enchapes, impermeabilización, ventilación, espejos y accesorios, pruebas de fuga.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Garaje y exteriores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Dimensiones (5,00 m de fondo), pendientes de drenaje, adoquín/piedra, andenes, portón y cerramiento, iluminación exterior, antejardín.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Escaleras y vacío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Huellas y contrahuellas uniformes, pasamanos, barandas, alturas libres, acabados y anclajes.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Alcobas 1, 2 y principal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Medidas, closets y vestier, ventanería y balcón, puertas, tomas e iluminación, pisos, humedades en muros y cielos.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Cubierta y fachada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Impermeabilización y remates, bajantes y canales, enchape en piedra (adherencia, juntas), ventanería vertical, filtraciones, fisuras en fachada.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Sistemas generales</w:t>
            </w:r>
          </w:p>
        </w:tc>
        <w:tc>
          <w:tcPr>
            <w:tcW w:type="dxa" w:w="70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Tablero eléctrico y protecciones, polo a tierra, tanques/bombas si existen, medidores, redes de agua, desagües y aguas lluvias, gas, citófono/datos.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2F5D50"/>
          <w:sz w:val="27"/>
          <w:szCs w:val="27"/>
        </w:rPr>
        <w:t xml:space="preserve">Anexo B – Lista de verificación documental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000"/>
        <w:gridCol w:w="3160"/>
      </w:tblGrid>
      <w:tr>
        <w:trPr>
          <w:tblHeader/>
        </w:trPr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0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31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shd w:fill="2F5D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Licencia de construcción y modificaciones</w:t>
            </w:r>
          </w:p>
        </w:tc>
        <w:tc>
          <w:tcPr>
            <w:tcW w:type="dxa" w:w="20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Recibido  ☐ Faltante</w:t>
            </w:r>
          </w:p>
        </w:tc>
        <w:tc>
          <w:tcPr>
            <w:tcW w:type="dxa" w:w="31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Planos arquitectónicos aprobados y planos récord</w:t>
            </w:r>
          </w:p>
        </w:tc>
        <w:tc>
          <w:tcPr>
            <w:tcW w:type="dxa" w:w="20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Recibido  ☐ Faltante</w:t>
            </w:r>
          </w:p>
        </w:tc>
        <w:tc>
          <w:tcPr>
            <w:tcW w:type="dxa" w:w="31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Planos y memorias estructurales; estudio de suelos</w:t>
            </w:r>
          </w:p>
        </w:tc>
        <w:tc>
          <w:tcPr>
            <w:tcW w:type="dxa" w:w="20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Recibido  ☐ Faltante</w:t>
            </w:r>
          </w:p>
        </w:tc>
        <w:tc>
          <w:tcPr>
            <w:tcW w:type="dxa" w:w="31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Planos hidrosanitarios, eléctricos y de gas (récord)</w:t>
            </w:r>
          </w:p>
        </w:tc>
        <w:tc>
          <w:tcPr>
            <w:tcW w:type="dxa" w:w="20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Recibido  ☐ Faltante</w:t>
            </w:r>
          </w:p>
        </w:tc>
        <w:tc>
          <w:tcPr>
            <w:tcW w:type="dxa" w:w="31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Ensayos de concreto y certificados de materiales</w:t>
            </w:r>
          </w:p>
        </w:tc>
        <w:tc>
          <w:tcPr>
            <w:tcW w:type="dxa" w:w="20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Recibido  ☐ Faltante</w:t>
            </w:r>
          </w:p>
        </w:tc>
        <w:tc>
          <w:tcPr>
            <w:tcW w:type="dxa" w:w="31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Actas de pruebas de redes (presión, hermeticidad)</w:t>
            </w:r>
          </w:p>
        </w:tc>
        <w:tc>
          <w:tcPr>
            <w:tcW w:type="dxa" w:w="20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Recibido  ☐ Faltante</w:t>
            </w:r>
          </w:p>
        </w:tc>
        <w:tc>
          <w:tcPr>
            <w:tcW w:type="dxa" w:w="31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Certificaciones RETIE / RETILAP / gas, según aplique</w:t>
            </w:r>
          </w:p>
        </w:tc>
        <w:tc>
          <w:tcPr>
            <w:tcW w:type="dxa" w:w="20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Recibido  ☐ Faltante</w:t>
            </w:r>
          </w:p>
        </w:tc>
        <w:tc>
          <w:tcPr>
            <w:tcW w:type="dxa" w:w="31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Supervisión técnica / bitácora de obra</w:t>
            </w:r>
          </w:p>
        </w:tc>
        <w:tc>
          <w:tcPr>
            <w:tcW w:type="dxa" w:w="20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Recibido  ☐ Faltante</w:t>
            </w:r>
          </w:p>
        </w:tc>
        <w:tc>
          <w:tcPr>
            <w:tcW w:type="dxa" w:w="31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Garantías de equipos, ventanería, impermeabilización y acabados</w:t>
            </w:r>
          </w:p>
        </w:tc>
        <w:tc>
          <w:tcPr>
            <w:tcW w:type="dxa" w:w="20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Recibido  ☐ Faltante</w:t>
            </w:r>
          </w:p>
        </w:tc>
        <w:tc>
          <w:tcPr>
            <w:tcW w:type="dxa" w:w="31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Manual de uso y mantenimiento / cartilla del propietario</w:t>
            </w:r>
          </w:p>
        </w:tc>
        <w:tc>
          <w:tcPr>
            <w:tcW w:type="dxa" w:w="20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Recibido  ☐ Faltante</w:t>
            </w:r>
          </w:p>
        </w:tc>
        <w:tc>
          <w:tcPr>
            <w:tcW w:type="dxa" w:w="31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Paz y salvos y contratos de servicios públicos</w:t>
            </w:r>
          </w:p>
        </w:tc>
        <w:tc>
          <w:tcPr>
            <w:tcW w:type="dxa" w:w="20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Recibido  ☐ Faltante</w:t>
            </w:r>
          </w:p>
        </w:tc>
        <w:tc>
          <w:tcPr>
            <w:tcW w:type="dxa" w:w="31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Escritura / promesa de compraventa, cuadro de áreas</w:t>
            </w:r>
          </w:p>
        </w:tc>
        <w:tc>
          <w:tcPr>
            <w:tcW w:type="dxa" w:w="200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Recibido  ☐ Faltante</w:t>
            </w:r>
          </w:p>
        </w:tc>
        <w:tc>
          <w:tcPr>
            <w:tcW w:type="dxa" w:w="3160"/>
            <w:tcBorders>
              <w:top w:val="single" w:color="9AA5A0" w:sz="4"/>
              <w:left w:val="single" w:color="9AA5A0" w:sz="4"/>
              <w:bottom w:val="single" w:color="9AA5A0" w:sz="4"/>
              <w:right w:val="single" w:color="9AA5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07070"/>
        <w:sz w:val="16"/>
        <w:szCs w:val="16"/>
      </w:rPr>
      <w:t xml:space="preserve">Página </w:t>
    </w:r>
    <w:r>
      <w:rPr>
        <w:rFonts w:ascii="Arial" w:cs="Arial" w:eastAsia="Arial" w:hAnsi="Arial"/>
        <w:color w:val="7070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07070"/>
        <w:sz w:val="16"/>
        <w:szCs w:val="16"/>
      </w:rPr>
      <w:t xml:space="preserve">MAP Ingeniería · Propuesta técnica – Recibo de vivienda Casa Terraza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2026-10-18T14:54:06.982Z</dcterms:created>
  <dcterms:modified xsi:type="dcterms:W3CDTF">2026-10-18T14:54:06.983Z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