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245675" w14:textId="6D7AEF7A" w:rsidR="00EF4962" w:rsidRDefault="00EF4962" w:rsidP="00633D23">
      <w:pPr>
        <w:spacing w:line="240" w:lineRule="auto"/>
        <w:ind w:firstLine="204"/>
        <w:rPr>
          <w:sz w:val="20"/>
          <w:szCs w:val="20"/>
        </w:rPr>
      </w:pPr>
      <w:r w:rsidRPr="00EF4962">
        <w:rPr>
          <w:sz w:val="20"/>
          <w:szCs w:val="20"/>
        </w:rPr>
        <w:t>To provide a rigorous quantitative comparison between the proposed DMA3C and the conventional MADDPG baseline, this section derives the parameter counts for their respective critic networks within the 3375-node distribution system.</w:t>
      </w:r>
    </w:p>
    <w:p w14:paraId="204219BA" w14:textId="502AC69F" w:rsidR="00EF4962" w:rsidRDefault="00EF4962" w:rsidP="00633D23">
      <w:pPr>
        <w:spacing w:line="240" w:lineRule="auto"/>
        <w:ind w:firstLine="204"/>
        <w:rPr>
          <w:sz w:val="20"/>
          <w:szCs w:val="20"/>
        </w:rPr>
      </w:pPr>
      <w:r w:rsidRPr="004D1AA0">
        <w:rPr>
          <w:i/>
          <w:iCs/>
          <w:sz w:val="20"/>
          <w:szCs w:val="20"/>
        </w:rPr>
        <w:t xml:space="preserve">1) MADDPG </w:t>
      </w:r>
      <w:r w:rsidRPr="004D1AA0">
        <w:rPr>
          <w:rFonts w:hint="eastAsia"/>
          <w:i/>
          <w:iCs/>
          <w:sz w:val="20"/>
          <w:szCs w:val="20"/>
        </w:rPr>
        <w:t>p</w:t>
      </w:r>
      <w:r w:rsidRPr="004D1AA0">
        <w:rPr>
          <w:i/>
          <w:iCs/>
          <w:sz w:val="20"/>
          <w:szCs w:val="20"/>
        </w:rPr>
        <w:t>arameter analysis:</w:t>
      </w:r>
      <w:r>
        <w:rPr>
          <w:sz w:val="20"/>
          <w:szCs w:val="20"/>
        </w:rPr>
        <w:t xml:space="preserve"> </w:t>
      </w:r>
      <w:r w:rsidRPr="00EF4962">
        <w:rPr>
          <w:sz w:val="20"/>
          <w:szCs w:val="20"/>
        </w:rPr>
        <w:t xml:space="preserve">In the centralized training and decentralized execution (CTDE) framework, the global critic processes the joint state and action information from all </w:t>
      </w:r>
      <w:r>
        <w:rPr>
          <w:i/>
          <w:iCs/>
          <w:sz w:val="20"/>
          <w:szCs w:val="20"/>
        </w:rPr>
        <w:t>n</w:t>
      </w:r>
      <w:r w:rsidRPr="00EF4962">
        <w:rPr>
          <w:sz w:val="20"/>
          <w:szCs w:val="20"/>
        </w:rPr>
        <w:t xml:space="preserve"> agents. For the 3375-node system, the global state dimension is 2818 and the global action space dimension is 432. Consequently, the centralized critic must process a joint state-action input of 3250 dimensions. Given a centralized multi-layer perceptron (MLP) architecture with hidden layers of</w:t>
      </w:r>
      <w:r>
        <w:rPr>
          <w:sz w:val="20"/>
          <w:szCs w:val="20"/>
        </w:rPr>
        <w:t xml:space="preserve"> </w:t>
      </w:r>
      <w:r w:rsidRPr="00EF4962">
        <w:rPr>
          <w:sz w:val="20"/>
          <w:szCs w:val="20"/>
        </w:rPr>
        <w:t xml:space="preserve">(512, 128), the total number of parameters </w:t>
      </w:r>
      <w:r w:rsidRPr="00C753B7">
        <w:rPr>
          <w:i/>
          <w:iCs/>
          <w:sz w:val="20"/>
          <w:szCs w:val="20"/>
        </w:rPr>
        <w:t>P</w:t>
      </w:r>
      <w:r>
        <w:rPr>
          <w:sz w:val="20"/>
          <w:szCs w:val="20"/>
          <w:vertAlign w:val="subscript"/>
        </w:rPr>
        <w:t>MADDPG</w:t>
      </w:r>
      <w:r w:rsidRPr="00EF4962">
        <w:rPr>
          <w:sz w:val="20"/>
          <w:szCs w:val="20"/>
        </w:rPr>
        <w:t xml:space="preserve"> is calculated as:</w:t>
      </w:r>
    </w:p>
    <w:p w14:paraId="5C8F8B3A" w14:textId="77777777" w:rsidR="00EF4962" w:rsidRPr="00EF4962" w:rsidRDefault="00EF4962" w:rsidP="00633D23">
      <w:pPr>
        <w:spacing w:line="240" w:lineRule="auto"/>
        <w:jc w:val="center"/>
        <w:rPr>
          <w:sz w:val="20"/>
          <w:szCs w:val="20"/>
          <w:vertAlign w:val="superscript"/>
        </w:rPr>
      </w:pPr>
      <w:r w:rsidRPr="00C753B7">
        <w:rPr>
          <w:i/>
          <w:iCs/>
          <w:sz w:val="20"/>
          <w:szCs w:val="20"/>
        </w:rPr>
        <w:t>P</w:t>
      </w:r>
      <w:r>
        <w:rPr>
          <w:sz w:val="20"/>
          <w:szCs w:val="20"/>
          <w:vertAlign w:val="subscript"/>
        </w:rPr>
        <w:t>MADDPG</w:t>
      </w:r>
      <w:r>
        <w:rPr>
          <w:sz w:val="20"/>
          <w:szCs w:val="20"/>
        </w:rPr>
        <w:t>=(</w:t>
      </w:r>
      <w:r w:rsidRPr="00C02608">
        <w:rPr>
          <w:rFonts w:hint="eastAsia"/>
          <w:sz w:val="20"/>
          <w:szCs w:val="20"/>
        </w:rPr>
        <w:t>3</w:t>
      </w:r>
      <w:r w:rsidRPr="00C02608">
        <w:rPr>
          <w:sz w:val="20"/>
          <w:szCs w:val="20"/>
        </w:rPr>
        <w:t>250</w:t>
      </w:r>
      <w:r w:rsidRPr="00C02608">
        <w:rPr>
          <w:rFonts w:hint="eastAsia"/>
          <w:sz w:val="20"/>
          <w:szCs w:val="20"/>
        </w:rPr>
        <w:t>×</w:t>
      </w:r>
      <w:r w:rsidRPr="00C02608">
        <w:rPr>
          <w:sz w:val="20"/>
          <w:szCs w:val="20"/>
        </w:rPr>
        <w:t>512+512</w:t>
      </w:r>
      <w:r>
        <w:rPr>
          <w:sz w:val="20"/>
          <w:szCs w:val="20"/>
        </w:rPr>
        <w:t>)+(</w:t>
      </w:r>
      <w:r w:rsidRPr="00C02608">
        <w:rPr>
          <w:sz w:val="20"/>
          <w:szCs w:val="20"/>
        </w:rPr>
        <w:t>512</w:t>
      </w:r>
      <w:r w:rsidRPr="00C02608">
        <w:rPr>
          <w:rFonts w:hint="eastAsia"/>
          <w:sz w:val="20"/>
          <w:szCs w:val="20"/>
        </w:rPr>
        <w:t>×</w:t>
      </w:r>
      <w:r w:rsidRPr="00C02608">
        <w:rPr>
          <w:rFonts w:hint="eastAsia"/>
          <w:sz w:val="20"/>
          <w:szCs w:val="20"/>
        </w:rPr>
        <w:t>1</w:t>
      </w:r>
      <w:r w:rsidRPr="00C02608">
        <w:rPr>
          <w:sz w:val="20"/>
          <w:szCs w:val="20"/>
        </w:rPr>
        <w:t>28+128</w:t>
      </w:r>
      <w:r>
        <w:rPr>
          <w:sz w:val="20"/>
          <w:szCs w:val="20"/>
        </w:rPr>
        <w:t>)+</w:t>
      </w:r>
      <w:r>
        <w:rPr>
          <w:rFonts w:hint="eastAsia"/>
          <w:sz w:val="20"/>
          <w:szCs w:val="20"/>
        </w:rPr>
        <w:t>(</w:t>
      </w:r>
      <w:r w:rsidRPr="00C02608">
        <w:rPr>
          <w:rFonts w:hint="eastAsia"/>
          <w:sz w:val="20"/>
          <w:szCs w:val="20"/>
        </w:rPr>
        <w:t>1</w:t>
      </w:r>
      <w:r w:rsidRPr="00C02608">
        <w:rPr>
          <w:sz w:val="20"/>
          <w:szCs w:val="20"/>
        </w:rPr>
        <w:t>28</w:t>
      </w:r>
      <w:r w:rsidRPr="00C02608">
        <w:rPr>
          <w:rFonts w:hint="eastAsia"/>
          <w:sz w:val="20"/>
          <w:szCs w:val="20"/>
        </w:rPr>
        <w:t>×</w:t>
      </w:r>
      <w:r w:rsidRPr="00C02608">
        <w:rPr>
          <w:rFonts w:hint="eastAsia"/>
          <w:sz w:val="20"/>
          <w:szCs w:val="20"/>
        </w:rPr>
        <w:t>1</w:t>
      </w:r>
      <w:r w:rsidRPr="00C02608">
        <w:rPr>
          <w:sz w:val="20"/>
          <w:szCs w:val="20"/>
        </w:rPr>
        <w:t>+1</w:t>
      </w:r>
      <w:r>
        <w:rPr>
          <w:sz w:val="20"/>
          <w:szCs w:val="20"/>
        </w:rPr>
        <w:t>)</w:t>
      </w:r>
      <w:r w:rsidRPr="00C02608">
        <w:rPr>
          <w:sz w:val="20"/>
          <w:szCs w:val="20"/>
        </w:rPr>
        <w:t>=1730305</w:t>
      </w:r>
      <w:r>
        <w:rPr>
          <w:sz w:val="20"/>
          <w:szCs w:val="20"/>
        </w:rPr>
        <w:sym w:font="Symbol" w:char="F0BB"/>
      </w:r>
      <w:r>
        <w:rPr>
          <w:sz w:val="20"/>
          <w:szCs w:val="20"/>
        </w:rPr>
        <w:t>1.73</w:t>
      </w:r>
      <w:r>
        <w:rPr>
          <w:sz w:val="20"/>
          <w:szCs w:val="20"/>
        </w:rPr>
        <w:sym w:font="Symbol" w:char="F0B4"/>
      </w:r>
      <w:r>
        <w:rPr>
          <w:sz w:val="20"/>
          <w:szCs w:val="20"/>
        </w:rPr>
        <w:t>10</w:t>
      </w:r>
      <w:r>
        <w:rPr>
          <w:sz w:val="20"/>
          <w:szCs w:val="20"/>
          <w:vertAlign w:val="superscript"/>
        </w:rPr>
        <w:t>6</w:t>
      </w:r>
    </w:p>
    <w:p w14:paraId="251DE6AF" w14:textId="21D424FD" w:rsidR="00EF4962" w:rsidRDefault="007A433E" w:rsidP="00633D23">
      <w:pPr>
        <w:pStyle w:val="Text"/>
        <w:spacing w:line="240" w:lineRule="auto"/>
        <w:ind w:firstLine="204"/>
      </w:pPr>
      <w:r w:rsidRPr="004D1AA0">
        <w:rPr>
          <w:i/>
          <w:iCs/>
        </w:rPr>
        <w:t>2) DMA3C parameter analysis:</w:t>
      </w:r>
      <w:r>
        <w:t xml:space="preserve"> </w:t>
      </w:r>
      <w:r w:rsidR="00EF4962">
        <w:t>In contrast, the proposed DMA3C architecture leverages the sparse spatial coupling inherent in distribution systems.</w:t>
      </w:r>
      <w:r w:rsidR="00EF4962" w:rsidRPr="00C27D48">
        <w:rPr>
          <w:lang w:eastAsia="zh-CN"/>
        </w:rPr>
        <w:t xml:space="preserve"> Each critic network represents a truncated value function </w:t>
      </w:r>
      <m:oMath>
        <m:sSub>
          <m:sSubPr>
            <m:ctrlPr>
              <w:rPr>
                <w:rFonts w:ascii="Cambria Math" w:hAnsi="Cambria Math"/>
                <w:i/>
                <w:lang w:eastAsia="zh-CN"/>
              </w:rPr>
            </m:ctrlPr>
          </m:sSubPr>
          <m:e>
            <m:r>
              <m:rPr>
                <m:nor/>
              </m:rPr>
              <w:rPr>
                <w:i/>
                <w:lang w:eastAsia="zh-CN"/>
              </w:rPr>
              <m:t>V</m:t>
            </m:r>
          </m:e>
          <m:sub>
            <w:proofErr w:type="spellStart"/>
            <m:r>
              <m:rPr>
                <m:nor/>
              </m:rPr>
              <w:rPr>
                <w:i/>
                <w:lang w:eastAsia="zh-CN"/>
              </w:rPr>
              <m:t>i</m:t>
            </m:r>
            <w:proofErr w:type="spellEnd"/>
          </m:sub>
        </m:sSub>
        <m:r>
          <m:rPr>
            <m:nor/>
          </m:rPr>
          <w:rPr>
            <w:lang w:eastAsia="zh-CN"/>
          </w:rPr>
          <m:t>(</m:t>
        </m:r>
        <m:sSub>
          <m:sSubPr>
            <m:ctrlPr>
              <w:rPr>
                <w:rFonts w:ascii="Cambria Math" w:hAnsi="Cambria Math"/>
                <w:i/>
                <w:lang w:eastAsia="zh-CN"/>
              </w:rPr>
            </m:ctrlPr>
          </m:sSubPr>
          <m:e>
            <m:r>
              <m:rPr>
                <m:nor/>
              </m:rPr>
              <w:rPr>
                <w:i/>
                <w:lang w:eastAsia="zh-CN"/>
              </w:rPr>
              <m:t>s</m:t>
            </m:r>
          </m:e>
          <m:sub>
            <m:sSubSup>
              <m:sSubSupPr>
                <m:ctrlPr>
                  <w:rPr>
                    <w:rFonts w:ascii="Cambria Math" w:hAnsi="Cambria Math"/>
                    <w:i/>
                    <w:lang w:eastAsia="zh-CN"/>
                  </w:rPr>
                </m:ctrlPr>
              </m:sSubSupPr>
              <m:e>
                <m:r>
                  <m:rPr>
                    <m:nor/>
                  </m:rPr>
                  <w:rPr>
                    <w:i/>
                    <w:lang w:eastAsia="zh-CN"/>
                  </w:rPr>
                  <m:t>N</m:t>
                </m:r>
              </m:e>
              <m:sub>
                <w:proofErr w:type="spellStart"/>
                <m:r>
                  <m:rPr>
                    <m:nor/>
                  </m:rPr>
                  <w:rPr>
                    <w:i/>
                    <w:lang w:eastAsia="zh-CN"/>
                  </w:rPr>
                  <m:t>i</m:t>
                </m:r>
                <w:proofErr w:type="spellEnd"/>
              </m:sub>
              <m:sup>
                <m:r>
                  <m:rPr>
                    <m:nor/>
                  </m:rPr>
                  <w:rPr>
                    <w:i/>
                    <w:lang w:eastAsia="zh-CN"/>
                  </w:rPr>
                  <m:t>κ</m:t>
                </m:r>
              </m:sup>
            </m:sSubSup>
          </m:sub>
        </m:sSub>
        <m:r>
          <m:rPr>
            <m:nor/>
          </m:rPr>
          <w:rPr>
            <w:lang w:eastAsia="zh-CN"/>
          </w:rPr>
          <m:t>)</m:t>
        </m:r>
      </m:oMath>
      <w:r w:rsidR="00EF4962">
        <w:t xml:space="preserve"> for agent </w:t>
      </w:r>
      <w:proofErr w:type="spellStart"/>
      <w:r w:rsidR="00EF4962">
        <w:rPr>
          <w:i/>
          <w:iCs/>
        </w:rPr>
        <w:t>i</w:t>
      </w:r>
      <w:proofErr w:type="spellEnd"/>
      <w:r w:rsidR="00EF4962">
        <w:t xml:space="preserve">. Unlike the centralized critic, this localized function depends only on the </w:t>
      </w:r>
      <w:proofErr w:type="spellStart"/>
      <w:r w:rsidR="00EF4962">
        <w:t xml:space="preserve">state </w:t>
      </w:r>
      <m:oMath>
        <m:sSub>
          <m:sSubPr>
            <m:ctrlPr>
              <w:rPr>
                <w:rFonts w:ascii="Cambria Math" w:hAnsi="Cambria Math"/>
                <w:i/>
                <w:lang w:eastAsia="zh-CN"/>
              </w:rPr>
            </m:ctrlPr>
          </m:sSubPr>
          <m:e>
            <m:r>
              <m:rPr>
                <m:nor/>
              </m:rPr>
              <w:rPr>
                <w:i/>
                <w:lang w:eastAsia="zh-CN"/>
              </w:rPr>
              <m:t>s</m:t>
            </m:r>
            <w:proofErr w:type="spellEnd"/>
          </m:e>
          <m:sub>
            <m:sSubSup>
              <m:sSubSupPr>
                <m:ctrlPr>
                  <w:rPr>
                    <w:rFonts w:ascii="Cambria Math" w:hAnsi="Cambria Math"/>
                    <w:i/>
                    <w:lang w:eastAsia="zh-CN"/>
                  </w:rPr>
                </m:ctrlPr>
              </m:sSubSupPr>
              <m:e>
                <m:r>
                  <m:rPr>
                    <m:nor/>
                  </m:rPr>
                  <w:rPr>
                    <w:i/>
                    <w:lang w:eastAsia="zh-CN"/>
                  </w:rPr>
                  <m:t>N</m:t>
                </m:r>
              </m:e>
              <m:sub>
                <w:proofErr w:type="spellStart"/>
                <m:r>
                  <m:rPr>
                    <m:nor/>
                  </m:rPr>
                  <w:rPr>
                    <w:i/>
                    <w:lang w:eastAsia="zh-CN"/>
                  </w:rPr>
                  <m:t>i</m:t>
                </m:r>
                <w:proofErr w:type="spellEnd"/>
              </m:sub>
              <m:sup>
                <m:r>
                  <m:rPr>
                    <m:nor/>
                  </m:rPr>
                  <w:rPr>
                    <w:i/>
                    <w:lang w:eastAsia="zh-CN"/>
                  </w:rPr>
                  <m:t>κ</m:t>
                </m:r>
              </m:sup>
            </m:sSubSup>
          </m:sub>
        </m:sSub>
      </m:oMath>
      <w:r w:rsidR="00EF4962">
        <w:t xml:space="preserve"> within </w:t>
      </w:r>
      <w:r w:rsidR="00EF4962">
        <w:rPr>
          <w:rFonts w:hint="eastAsia"/>
          <w:lang w:eastAsia="zh-CN"/>
        </w:rPr>
        <w:t>t</w:t>
      </w:r>
      <w:r w:rsidR="00EF4962">
        <w:rPr>
          <w:lang w:eastAsia="zh-CN"/>
        </w:rPr>
        <w:t xml:space="preserve">he </w:t>
      </w:r>
      <m:oMath>
        <m:r>
          <m:rPr>
            <m:nor/>
          </m:rPr>
          <w:rPr>
            <w:rFonts w:ascii="Times" w:hAnsi="Times" w:cs="Times"/>
            <w:i/>
            <w:iCs/>
            <w:lang w:eastAsia="zh-CN"/>
          </w:rPr>
          <m:t>κ</m:t>
        </m:r>
        <m:r>
          <m:rPr>
            <m:nor/>
          </m:rPr>
          <w:rPr>
            <w:rFonts w:ascii="Times" w:hAnsi="Times" w:cs="Times"/>
            <w:lang w:eastAsia="zh-CN"/>
          </w:rPr>
          <m:t>-hop</m:t>
        </m:r>
      </m:oMath>
      <w:r w:rsidR="00EF4962" w:rsidRPr="00F34E77">
        <w:rPr>
          <w:rFonts w:hint="eastAsia"/>
          <w:lang w:eastAsia="zh-CN"/>
        </w:rPr>
        <w:t xml:space="preserve"> </w:t>
      </w:r>
      <w:r w:rsidR="00EF4962" w:rsidRPr="00F34E77">
        <w:rPr>
          <w:lang w:eastAsia="zh-CN"/>
        </w:rPr>
        <w:t xml:space="preserve">neighborhood of agent </w:t>
      </w:r>
      <w:proofErr w:type="spellStart"/>
      <w:r w:rsidR="00EF4962" w:rsidRPr="00F34E77">
        <w:rPr>
          <w:i/>
          <w:iCs/>
          <w:lang w:eastAsia="zh-CN"/>
        </w:rPr>
        <w:t>i</w:t>
      </w:r>
      <w:proofErr w:type="spellEnd"/>
      <w:r w:rsidR="00EF4962">
        <w:rPr>
          <w:lang w:eastAsia="zh-CN"/>
        </w:rPr>
        <w:t xml:space="preserve"> </w:t>
      </w:r>
      <w:r w:rsidR="00EF4962">
        <w:t xml:space="preserve">rather than the global state. </w:t>
      </w:r>
      <w:r w:rsidR="00EF4962" w:rsidRPr="00715474">
        <w:t xml:space="preserve">In this test system, the maximum input dimension for the truncated value function is </w:t>
      </w:r>
      <w:r w:rsidR="00EF4962">
        <w:t xml:space="preserve">reduced to </w:t>
      </w:r>
      <w:r w:rsidR="00EF4962" w:rsidRPr="00715474">
        <w:t xml:space="preserve">592. Under </w:t>
      </w:r>
      <w:r w:rsidR="00EF4962">
        <w:t>a</w:t>
      </w:r>
      <w:r w:rsidR="00EF4962" w:rsidRPr="00715474">
        <w:t xml:space="preserve"> (256, 128) architecture, </w:t>
      </w:r>
      <w:r w:rsidR="00EF4962" w:rsidRPr="00EF4962">
        <w:t xml:space="preserve">the parameter count </w:t>
      </w:r>
      <w:r w:rsidR="00EF4962" w:rsidRPr="00C753B7">
        <w:rPr>
          <w:i/>
          <w:iCs/>
        </w:rPr>
        <w:t>P</w:t>
      </w:r>
      <w:r w:rsidR="00EF4962">
        <w:rPr>
          <w:vertAlign w:val="subscript"/>
        </w:rPr>
        <w:t>DMA3C</w:t>
      </w:r>
      <w:r w:rsidR="00EF4962" w:rsidRPr="00EF4962">
        <w:t xml:space="preserve"> for the most complex local agent is calculated as:</w:t>
      </w:r>
      <w:r w:rsidR="00EF4962">
        <w:t xml:space="preserve"> </w:t>
      </w:r>
    </w:p>
    <w:p w14:paraId="2333C0D6" w14:textId="37C0B4B9" w:rsidR="00EF4962" w:rsidRPr="00C02608" w:rsidRDefault="00EF4962" w:rsidP="00633D23">
      <w:pPr>
        <w:spacing w:line="240" w:lineRule="auto"/>
        <w:jc w:val="center"/>
        <w:rPr>
          <w:sz w:val="20"/>
          <w:szCs w:val="20"/>
        </w:rPr>
      </w:pPr>
      <w:r w:rsidRPr="00C753B7">
        <w:rPr>
          <w:i/>
          <w:iCs/>
          <w:sz w:val="20"/>
          <w:szCs w:val="20"/>
        </w:rPr>
        <w:t>P</w:t>
      </w:r>
      <w:r>
        <w:rPr>
          <w:vertAlign w:val="subscript"/>
        </w:rPr>
        <w:t>DMA3C</w:t>
      </w:r>
      <w:r>
        <w:t>=(</w:t>
      </w:r>
      <w:r w:rsidRPr="00C02608">
        <w:rPr>
          <w:sz w:val="20"/>
          <w:szCs w:val="20"/>
        </w:rPr>
        <w:t>592</w:t>
      </w:r>
      <w:r w:rsidRPr="00C02608">
        <w:rPr>
          <w:rFonts w:hint="eastAsia"/>
          <w:sz w:val="20"/>
          <w:szCs w:val="20"/>
        </w:rPr>
        <w:t>×</w:t>
      </w:r>
      <w:r w:rsidRPr="00C02608">
        <w:rPr>
          <w:rFonts w:hint="eastAsia"/>
          <w:sz w:val="20"/>
          <w:szCs w:val="20"/>
        </w:rPr>
        <w:t>2</w:t>
      </w:r>
      <w:r w:rsidRPr="00C02608">
        <w:rPr>
          <w:sz w:val="20"/>
          <w:szCs w:val="20"/>
        </w:rPr>
        <w:t>56+256</w:t>
      </w:r>
      <w:r>
        <w:rPr>
          <w:sz w:val="20"/>
          <w:szCs w:val="20"/>
        </w:rPr>
        <w:t>)+(</w:t>
      </w:r>
      <w:r w:rsidRPr="00C02608">
        <w:rPr>
          <w:rFonts w:hint="eastAsia"/>
          <w:sz w:val="20"/>
          <w:szCs w:val="20"/>
        </w:rPr>
        <w:t>2</w:t>
      </w:r>
      <w:r w:rsidRPr="00C02608">
        <w:rPr>
          <w:sz w:val="20"/>
          <w:szCs w:val="20"/>
        </w:rPr>
        <w:t>56</w:t>
      </w:r>
      <w:r w:rsidRPr="00C02608">
        <w:rPr>
          <w:rFonts w:hint="eastAsia"/>
          <w:sz w:val="20"/>
          <w:szCs w:val="20"/>
        </w:rPr>
        <w:t>×</w:t>
      </w:r>
      <w:r w:rsidRPr="00C02608">
        <w:rPr>
          <w:rFonts w:hint="eastAsia"/>
          <w:sz w:val="20"/>
          <w:szCs w:val="20"/>
        </w:rPr>
        <w:t>1</w:t>
      </w:r>
      <w:r w:rsidRPr="00C02608">
        <w:rPr>
          <w:sz w:val="20"/>
          <w:szCs w:val="20"/>
        </w:rPr>
        <w:t>28+128</w:t>
      </w:r>
      <w:r>
        <w:rPr>
          <w:sz w:val="20"/>
          <w:szCs w:val="20"/>
        </w:rPr>
        <w:t>)+(</w:t>
      </w:r>
      <w:r w:rsidRPr="00C02608">
        <w:rPr>
          <w:rFonts w:hint="eastAsia"/>
          <w:sz w:val="20"/>
          <w:szCs w:val="20"/>
        </w:rPr>
        <w:t>1</w:t>
      </w:r>
      <w:r w:rsidRPr="00C02608">
        <w:rPr>
          <w:sz w:val="20"/>
          <w:szCs w:val="20"/>
        </w:rPr>
        <w:t>28</w:t>
      </w:r>
      <w:r w:rsidRPr="00C02608">
        <w:rPr>
          <w:rFonts w:hint="eastAsia"/>
          <w:sz w:val="20"/>
          <w:szCs w:val="20"/>
        </w:rPr>
        <w:t>×</w:t>
      </w:r>
      <w:r w:rsidRPr="00C02608">
        <w:rPr>
          <w:rFonts w:hint="eastAsia"/>
          <w:sz w:val="20"/>
          <w:szCs w:val="20"/>
        </w:rPr>
        <w:t>1</w:t>
      </w:r>
      <w:r w:rsidRPr="00C02608">
        <w:rPr>
          <w:sz w:val="20"/>
          <w:szCs w:val="20"/>
        </w:rPr>
        <w:t>+1</w:t>
      </w:r>
      <w:r>
        <w:rPr>
          <w:sz w:val="20"/>
          <w:szCs w:val="20"/>
        </w:rPr>
        <w:t>)</w:t>
      </w:r>
      <w:r>
        <w:rPr>
          <w:rFonts w:hint="eastAsia"/>
          <w:sz w:val="20"/>
          <w:szCs w:val="20"/>
        </w:rPr>
        <w:t>=</w:t>
      </w:r>
      <w:r w:rsidRPr="00C02608">
        <w:rPr>
          <w:sz w:val="20"/>
          <w:szCs w:val="20"/>
        </w:rPr>
        <w:t>184833</w:t>
      </w:r>
      <w:r w:rsidR="00972098">
        <w:rPr>
          <w:sz w:val="20"/>
          <w:szCs w:val="20"/>
        </w:rPr>
        <w:sym w:font="Symbol" w:char="F0BB"/>
      </w:r>
      <w:r w:rsidR="00972098">
        <w:rPr>
          <w:sz w:val="20"/>
          <w:szCs w:val="20"/>
        </w:rPr>
        <w:t>1.</w:t>
      </w:r>
      <w:r w:rsidR="00972098">
        <w:rPr>
          <w:sz w:val="20"/>
          <w:szCs w:val="20"/>
        </w:rPr>
        <w:t>85</w:t>
      </w:r>
      <w:r w:rsidR="00972098">
        <w:rPr>
          <w:sz w:val="20"/>
          <w:szCs w:val="20"/>
        </w:rPr>
        <w:sym w:font="Symbol" w:char="F0B4"/>
      </w:r>
      <w:r w:rsidR="00972098">
        <w:rPr>
          <w:sz w:val="20"/>
          <w:szCs w:val="20"/>
        </w:rPr>
        <w:t>10</w:t>
      </w:r>
      <w:r w:rsidR="00972098">
        <w:rPr>
          <w:sz w:val="20"/>
          <w:szCs w:val="20"/>
          <w:vertAlign w:val="superscript"/>
        </w:rPr>
        <w:t>5</w:t>
      </w:r>
    </w:p>
    <w:p w14:paraId="6DA1F910" w14:textId="79AA4E12" w:rsidR="00737F4B" w:rsidRPr="00C02608" w:rsidRDefault="004D1AA0" w:rsidP="004D1AA0">
      <w:pPr>
        <w:pStyle w:val="Text"/>
        <w:spacing w:line="240" w:lineRule="atLeast"/>
        <w:ind w:firstLine="204"/>
        <w:rPr>
          <w:rFonts w:hint="eastAsia"/>
        </w:rPr>
      </w:pPr>
      <w:r w:rsidRPr="004D1AA0">
        <w:rPr>
          <w:i/>
          <w:iCs/>
        </w:rPr>
        <w:t xml:space="preserve">3) Comparative </w:t>
      </w:r>
      <w:r w:rsidRPr="004D1AA0">
        <w:rPr>
          <w:i/>
          <w:iCs/>
        </w:rPr>
        <w:t>s</w:t>
      </w:r>
      <w:r w:rsidRPr="004D1AA0">
        <w:rPr>
          <w:i/>
          <w:iCs/>
        </w:rPr>
        <w:t>ummary</w:t>
      </w:r>
      <w:r w:rsidRPr="004D1AA0">
        <w:rPr>
          <w:rFonts w:hint="eastAsia"/>
          <w:i/>
          <w:iCs/>
          <w:lang w:eastAsia="zh-CN"/>
        </w:rPr>
        <w:t>:</w:t>
      </w:r>
      <w:r>
        <w:rPr>
          <w:lang w:eastAsia="zh-CN"/>
        </w:rPr>
        <w:t xml:space="preserve"> </w:t>
      </w:r>
      <w:r>
        <w:t>The comparative analysis reveals that the parameter count of the proposed DMA3C critic is approximately one order of magnitude lower than that of the MADDPG baseline. By decentralizing the training process and truncating the state space, the proposed method effectively mitigates the curse of dimensionality. This structural advantage ensures superior computational efficiency and facilitates stable convergence in large-scale DSR tasks.</w:t>
      </w:r>
    </w:p>
    <w:sectPr w:rsidR="00737F4B" w:rsidRPr="00C0260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C57C52" w14:textId="77777777" w:rsidR="002D4250" w:rsidRDefault="002D4250" w:rsidP="00824928">
      <w:pPr>
        <w:spacing w:line="240" w:lineRule="auto"/>
      </w:pPr>
      <w:r>
        <w:separator/>
      </w:r>
    </w:p>
  </w:endnote>
  <w:endnote w:type="continuationSeparator" w:id="0">
    <w:p w14:paraId="7A1AF6E1" w14:textId="77777777" w:rsidR="002D4250" w:rsidRDefault="002D4250" w:rsidP="0082492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0990B3" w14:textId="77777777" w:rsidR="002D4250" w:rsidRDefault="002D4250" w:rsidP="00824928">
      <w:pPr>
        <w:spacing w:line="240" w:lineRule="auto"/>
      </w:pPr>
      <w:r>
        <w:separator/>
      </w:r>
    </w:p>
  </w:footnote>
  <w:footnote w:type="continuationSeparator" w:id="0">
    <w:p w14:paraId="6C144C47" w14:textId="77777777" w:rsidR="002D4250" w:rsidRDefault="002D4250" w:rsidP="00824928">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928"/>
    <w:rsid w:val="001529A6"/>
    <w:rsid w:val="00183860"/>
    <w:rsid w:val="00193EF3"/>
    <w:rsid w:val="002B3C56"/>
    <w:rsid w:val="002D4250"/>
    <w:rsid w:val="003D6C3E"/>
    <w:rsid w:val="00447BD6"/>
    <w:rsid w:val="004C62E5"/>
    <w:rsid w:val="004D1AA0"/>
    <w:rsid w:val="00633D23"/>
    <w:rsid w:val="00715F80"/>
    <w:rsid w:val="00737F4B"/>
    <w:rsid w:val="00775FD6"/>
    <w:rsid w:val="007A433E"/>
    <w:rsid w:val="00824928"/>
    <w:rsid w:val="008A6861"/>
    <w:rsid w:val="009265E9"/>
    <w:rsid w:val="00972098"/>
    <w:rsid w:val="00BF03B1"/>
    <w:rsid w:val="00C02608"/>
    <w:rsid w:val="00C753B7"/>
    <w:rsid w:val="00D872F5"/>
    <w:rsid w:val="00E072CB"/>
    <w:rsid w:val="00E36658"/>
    <w:rsid w:val="00EF49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C47A323"/>
  <w15:chartTrackingRefBased/>
  <w15:docId w15:val="{643DC65A-72D5-4327-B722-E40EB05D7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w:eastAsia="宋体" w:hAnsi="Times"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kern w:val="2"/>
      <w:sz w:val="24"/>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24928"/>
    <w:pPr>
      <w:pBdr>
        <w:bottom w:val="single" w:sz="6" w:space="1" w:color="auto"/>
      </w:pBdr>
      <w:tabs>
        <w:tab w:val="center" w:pos="4153"/>
        <w:tab w:val="right" w:pos="8306"/>
      </w:tabs>
      <w:snapToGrid w:val="0"/>
      <w:spacing w:line="240" w:lineRule="auto"/>
      <w:jc w:val="center"/>
    </w:pPr>
    <w:rPr>
      <w:sz w:val="18"/>
      <w:szCs w:val="18"/>
    </w:rPr>
  </w:style>
  <w:style w:type="character" w:customStyle="1" w:styleId="a4">
    <w:name w:val="页眉 字符"/>
    <w:link w:val="a3"/>
    <w:uiPriority w:val="99"/>
    <w:rsid w:val="00824928"/>
    <w:rPr>
      <w:sz w:val="18"/>
      <w:szCs w:val="18"/>
    </w:rPr>
  </w:style>
  <w:style w:type="paragraph" w:styleId="a5">
    <w:name w:val="footer"/>
    <w:basedOn w:val="a"/>
    <w:link w:val="a6"/>
    <w:uiPriority w:val="99"/>
    <w:unhideWhenUsed/>
    <w:rsid w:val="00824928"/>
    <w:pPr>
      <w:tabs>
        <w:tab w:val="center" w:pos="4153"/>
        <w:tab w:val="right" w:pos="8306"/>
      </w:tabs>
      <w:snapToGrid w:val="0"/>
      <w:spacing w:line="240" w:lineRule="auto"/>
      <w:jc w:val="left"/>
    </w:pPr>
    <w:rPr>
      <w:sz w:val="18"/>
      <w:szCs w:val="18"/>
    </w:rPr>
  </w:style>
  <w:style w:type="character" w:customStyle="1" w:styleId="a6">
    <w:name w:val="页脚 字符"/>
    <w:link w:val="a5"/>
    <w:uiPriority w:val="99"/>
    <w:rsid w:val="00824928"/>
    <w:rPr>
      <w:sz w:val="18"/>
      <w:szCs w:val="18"/>
    </w:rPr>
  </w:style>
  <w:style w:type="character" w:styleId="a7">
    <w:name w:val="Placeholder Text"/>
    <w:uiPriority w:val="99"/>
    <w:semiHidden/>
    <w:rsid w:val="00824928"/>
    <w:rPr>
      <w:color w:val="808080"/>
    </w:rPr>
  </w:style>
  <w:style w:type="paragraph" w:customStyle="1" w:styleId="Text">
    <w:name w:val="Text"/>
    <w:basedOn w:val="a"/>
    <w:link w:val="TextChar"/>
    <w:qFormat/>
    <w:rsid w:val="00EF4962"/>
    <w:pPr>
      <w:widowControl w:val="0"/>
      <w:autoSpaceDE w:val="0"/>
      <w:autoSpaceDN w:val="0"/>
      <w:spacing w:line="252" w:lineRule="auto"/>
      <w:ind w:firstLine="202"/>
    </w:pPr>
    <w:rPr>
      <w:rFonts w:ascii="Times New Roman" w:hAnsi="Times New Roman"/>
      <w:kern w:val="0"/>
      <w:sz w:val="20"/>
      <w:szCs w:val="20"/>
      <w:lang w:eastAsia="en-US"/>
    </w:rPr>
  </w:style>
  <w:style w:type="character" w:customStyle="1" w:styleId="TextChar">
    <w:name w:val="Text Char"/>
    <w:link w:val="Text"/>
    <w:qFormat/>
    <w:rsid w:val="00EF4962"/>
    <w:rPr>
      <w:rFonts w:ascii="Times New Roman" w:hAnsi="Times New Roman"/>
      <w:lang w:eastAsia="en-US"/>
    </w:rPr>
  </w:style>
  <w:style w:type="paragraph" w:styleId="a8">
    <w:name w:val="List Paragraph"/>
    <w:basedOn w:val="a"/>
    <w:uiPriority w:val="34"/>
    <w:qFormat/>
    <w:rsid w:val="00EF4962"/>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728596">
      <w:bodyDiv w:val="1"/>
      <w:marLeft w:val="0"/>
      <w:marRight w:val="0"/>
      <w:marTop w:val="0"/>
      <w:marBottom w:val="0"/>
      <w:divBdr>
        <w:top w:val="none" w:sz="0" w:space="0" w:color="auto"/>
        <w:left w:val="none" w:sz="0" w:space="0" w:color="auto"/>
        <w:bottom w:val="none" w:sz="0" w:space="0" w:color="auto"/>
        <w:right w:val="none" w:sz="0" w:space="0" w:color="auto"/>
      </w:divBdr>
    </w:div>
    <w:div w:id="1514030775">
      <w:bodyDiv w:val="1"/>
      <w:marLeft w:val="0"/>
      <w:marRight w:val="0"/>
      <w:marTop w:val="0"/>
      <w:marBottom w:val="0"/>
      <w:divBdr>
        <w:top w:val="none" w:sz="0" w:space="0" w:color="auto"/>
        <w:left w:val="none" w:sz="0" w:space="0" w:color="auto"/>
        <w:bottom w:val="none" w:sz="0" w:space="0" w:color="auto"/>
        <w:right w:val="none" w:sz="0" w:space="0" w:color="auto"/>
      </w:divBdr>
    </w:div>
    <w:div w:id="20467120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295</Words>
  <Characters>1684</Characters>
  <Application>Microsoft Office Word</Application>
  <DocSecurity>0</DocSecurity>
  <PresentationFormat/>
  <Lines>14</Lines>
  <Paragraphs>3</Paragraphs>
  <Slides>0</Slides>
  <Notes>0</Notes>
  <HiddenSlides>0</HiddenSlides>
  <MMClips>0</MMClips>
  <ScaleCrop>false</ScaleCrop>
  <Manager/>
  <Company/>
  <LinksUpToDate>false</LinksUpToDate>
  <CharactersWithSpaces>1976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萧文聪</dc:creator>
  <cp:keywords/>
  <dc:description/>
  <cp:lastModifiedBy>文聪 萧</cp:lastModifiedBy>
  <cp:revision>6</cp:revision>
  <dcterms:created xsi:type="dcterms:W3CDTF">2026-03-03T11:35:00Z</dcterms:created>
  <dcterms:modified xsi:type="dcterms:W3CDTF">2026-03-03T11:43:00Z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2052-9.1.0.3914</vt:lpwstr>
  </property>
</Properties>
</file>