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工程伦理讲课PPT修改说明</w:t>
      </w:r>
    </w:p>
    <w:p>
      <w:r>
        <w:t>河南师范大学研究生课程交流  2026年10月13日</w:t>
      </w:r>
    </w:p>
    <w:p>
      <w:r>
        <w:t>本次修订保留22页和两讲各45分钟的结构，依据教材第5章纠正概念与时事表述，补入可持续发展、举报及利益冲突处理，并统一学校标识与版式。以下页码与新版PPT一致，可用于逐页核对。</w:t>
      </w:r>
    </w:p>
    <w:p>
      <w:pPr>
        <w:pStyle w:val="Heading1"/>
      </w:pPr>
      <w:r>
        <w:t>修订重点</w:t>
      </w:r>
    </w:p>
    <w:p>
      <w:r>
        <w:rPr>
          <w:b/>
        </w:rPr>
        <w:t xml:space="preserve">案例事实  </w:t>
      </w:r>
      <w:r>
        <w:t>将尖扎事故伤亡更正为13人死亡、3人失联；说明承载能力下降约41%的含义；以官方核查界定永安边坡支护问题的风险范围。</w:t>
      </w:r>
    </w:p>
    <w:p>
      <w:r>
        <w:rPr>
          <w:b/>
        </w:rPr>
        <w:t xml:space="preserve">教材覆盖  </w:t>
      </w:r>
      <w:r>
        <w:t>补入AI幻觉案的生效判决，将讨论推进到合理注意义务与工程风险预防。第18—20页重组为可持续发展、报告升级与利益冲突处置。</w:t>
      </w:r>
    </w:p>
    <w:p>
      <w:r>
        <w:rPr>
          <w:b/>
        </w:rPr>
        <w:t xml:space="preserve">教学方法  </w:t>
      </w:r>
      <w:r>
        <w:t>将单一个人归责改为技术、组织与监督分析；将选择题改为证据与行动方案；将三层责任改为三种责任视角。</w:t>
      </w:r>
    </w:p>
    <w:p>
      <w:pPr>
        <w:pStyle w:val="Heading1"/>
      </w:pPr>
      <w:r>
        <w:t>视觉与可编辑性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880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新版规范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学校标识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从河南师范大学官网取得校徽，保持原图颜色与比例；封面及正文均使用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配色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白底，深红强调色，深蓝正文标题，灰色辅助文字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字体与层级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微软雅黑；封面标题约44—47磅，正文标题约29磅，正文约18—21磅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版式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保留原16∶9尺寸；统一页眉、页码、留白；采用双栏、分步骤与对照布局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图像与表格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保留桥梁场景配图并标明用途；移除装饰性AI配图；职责链与冲突表保持可编辑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备注与来源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22页均写入讲授提示；教材、官方报告及新闻链接置于对应页备注</w:t>
            </w:r>
          </w:p>
        </w:tc>
      </w:tr>
    </w:tbl>
    <w:p>
      <w:r>
        <w:rPr>
          <w:b/>
        </w:rPr>
        <w:t xml:space="preserve">使用提示  </w:t>
      </w:r>
      <w:r>
        <w:t>授课请使用新版PPT及其备注。原演讲稿未同步改写，其中部分事实、归因和案例顺序已与新版不同。</w:t>
      </w:r>
    </w:p>
    <w:p>
      <w:r>
        <w:br w:type="page"/>
      </w:r>
    </w:p>
    <w:p>
      <w:pPr>
        <w:pStyle w:val="Heading1"/>
      </w:pPr>
      <w:r>
        <w:t>第一讲第1至6页修改说明</w:t>
      </w:r>
    </w:p>
    <w:p>
      <w:pPr>
        <w:pStyle w:val="Heading2"/>
      </w:pPr>
      <w:r>
        <w:t>第1页 工程师的职业伦理</w:t>
      </w:r>
    </w:p>
    <w:p>
      <w:r>
        <w:rPr>
          <w:b/>
        </w:rPr>
        <w:t xml:space="preserve">修改前  </w:t>
      </w:r>
      <w:r>
        <w:t>第一讲封面仅有主题与5.1—5.2预习要求。</w:t>
      </w:r>
    </w:p>
    <w:p>
      <w:r>
        <w:rPr>
          <w:b/>
        </w:rPr>
        <w:t xml:space="preserve">修改后  </w:t>
      </w:r>
      <w:r>
        <w:t>保留第一讲主题，补入5.3.1预习要求。封面加入官方校徽、学校名称与研究生课程交流标识。</w:t>
      </w:r>
    </w:p>
    <w:p>
      <w:r>
        <w:rPr>
          <w:b/>
        </w:rPr>
        <w:t xml:space="preserve">修改依据  </w:t>
      </w:r>
      <w:r>
        <w:t>第一讲已讲5.3.1，预习安排应与内容一致。</w:t>
      </w:r>
    </w:p>
    <w:p>
      <w:pPr>
        <w:pStyle w:val="Heading2"/>
      </w:pPr>
      <w:r>
        <w:t>第2页 预习检查与学习目标</w:t>
      </w:r>
    </w:p>
    <w:p>
      <w:r>
        <w:rPr>
          <w:b/>
        </w:rPr>
        <w:t xml:space="preserve">修改前  </w:t>
      </w:r>
      <w:r>
        <w:t>学习目标主要围绕概念理解与个人选择。</w:t>
      </w:r>
    </w:p>
    <w:p>
      <w:r>
        <w:rPr>
          <w:b/>
        </w:rPr>
        <w:t xml:space="preserve">修改后  </w:t>
      </w:r>
      <w:r>
        <w:t>预习范围与第一讲内容对齐；学习目标改为能够观察和评价的任务。</w:t>
      </w:r>
    </w:p>
    <w:p>
      <w:r>
        <w:rPr>
          <w:b/>
        </w:rPr>
        <w:t xml:space="preserve">修改依据  </w:t>
      </w:r>
      <w:r>
        <w:t>使学习结果能够通过课堂产出评价。</w:t>
      </w:r>
    </w:p>
    <w:p>
      <w:pPr>
        <w:pStyle w:val="Heading2"/>
      </w:pPr>
      <w:r>
        <w:t>第3页 工程事故为何反复发生</w:t>
      </w:r>
    </w:p>
    <w:p>
      <w:r>
        <w:rPr>
          <w:b/>
        </w:rPr>
        <w:t xml:space="preserve">修改前  </w:t>
      </w:r>
      <w:r>
        <w:t>提问在技术、监督与个人选择之间形成较强二分。</w:t>
      </w:r>
    </w:p>
    <w:p>
      <w:r>
        <w:rPr>
          <w:b/>
        </w:rPr>
        <w:t xml:space="preserve">修改后  </w:t>
      </w:r>
      <w:r>
        <w:t>删除以个人选择为唯一答案的引导，改为技术、组织与行动节点的开放分析。</w:t>
      </w:r>
    </w:p>
    <w:p>
      <w:r>
        <w:rPr>
          <w:b/>
        </w:rPr>
        <w:t xml:space="preserve">修改依据  </w:t>
      </w:r>
      <w:r>
        <w:t>使后续事故调查能够检验学生提出的解释。</w:t>
      </w:r>
    </w:p>
    <w:p>
      <w:pPr>
        <w:pStyle w:val="Heading2"/>
      </w:pPr>
      <w:r>
        <w:t>第4页 工程职业的公共责任</w:t>
      </w:r>
    </w:p>
    <w:p>
      <w:r>
        <w:rPr>
          <w:b/>
        </w:rPr>
        <w:t xml:space="preserve">修改前  </w:t>
      </w:r>
      <w:r>
        <w:t>强调专业训练、社团自治与公众福祉。</w:t>
      </w:r>
    </w:p>
    <w:p>
      <w:r>
        <w:rPr>
          <w:b/>
        </w:rPr>
        <w:t xml:space="preserve">修改后  </w:t>
      </w:r>
      <w:r>
        <w:t>保留职业概念，补充法律监管与社会监督，降低口号式表述。</w:t>
      </w:r>
    </w:p>
    <w:p>
      <w:r>
        <w:rPr>
          <w:b/>
        </w:rPr>
        <w:t xml:space="preserve">修改依据  </w:t>
      </w:r>
      <w:r>
        <w:t>职业自治需与法律监管及社会监督共同理解。</w:t>
      </w:r>
    </w:p>
    <w:p>
      <w:pPr>
        <w:pStyle w:val="Heading2"/>
      </w:pPr>
      <w:r>
        <w:t>第5页 注册执业制度的典型路径</w:t>
      </w:r>
    </w:p>
    <w:p>
      <w:r>
        <w:rPr>
          <w:b/>
        </w:rPr>
        <w:t xml:space="preserve">修改前  </w:t>
      </w:r>
      <w:r>
        <w:t>所有工程师持证上岗被概括成统一五道关口。</w:t>
      </w:r>
    </w:p>
    <w:p>
      <w:r>
        <w:rPr>
          <w:b/>
        </w:rPr>
        <w:t xml:space="preserve">修改后  </w:t>
      </w:r>
      <w:r>
        <w:t>将所有工程师持证上岗的绝对表述改为典型注册路径，注明专业差异。</w:t>
      </w:r>
    </w:p>
    <w:p>
      <w:r>
        <w:rPr>
          <w:b/>
        </w:rPr>
        <w:t xml:space="preserve">修改依据  </w:t>
      </w:r>
      <w:r>
        <w:t>教材说明的是典型制度，专业与资格类别存在差异。</w:t>
      </w:r>
    </w:p>
    <w:p>
      <w:pPr>
        <w:pStyle w:val="Heading2"/>
      </w:pPr>
      <w:r>
        <w:t>第6页 尖扎大桥事故中的安全防线</w:t>
      </w:r>
    </w:p>
    <w:p>
      <w:r>
        <w:rPr>
          <w:b/>
        </w:rPr>
        <w:t xml:space="preserve">修改前  </w:t>
      </w:r>
      <w:r>
        <w:t>写为16条生命，事故原因集中于不合格螺栓。</w:t>
      </w:r>
    </w:p>
    <w:p>
      <w:r>
        <w:rPr>
          <w:b/>
        </w:rPr>
        <w:t xml:space="preserve">修改后  </w:t>
      </w:r>
      <w:r>
        <w:t>纠正伤亡口径与41%指标；从几颗螺栓的单因叙述改为多环节失效。保留原课件桥梁配图并说明用途。</w:t>
      </w:r>
    </w:p>
    <w:p>
      <w:r>
        <w:rPr>
          <w:b/>
        </w:rPr>
        <w:t xml:space="preserve">修改依据  </w:t>
      </w:r>
      <w:r>
        <w:t>官方口径为13人死亡、3人失联；41%指螺栓承载能力总体下降。</w:t>
      </w:r>
    </w:p>
    <w:p>
      <w:r>
        <w:br w:type="page"/>
      </w:r>
    </w:p>
    <w:p>
      <w:pPr>
        <w:pStyle w:val="Heading1"/>
      </w:pPr>
      <w:r>
        <w:t>第一讲第7至11页修改说明</w:t>
      </w:r>
    </w:p>
    <w:p>
      <w:pPr>
        <w:pStyle w:val="Heading2"/>
      </w:pPr>
      <w:r>
        <w:t>第7页 职责链中的信息与行动</w:t>
      </w:r>
    </w:p>
    <w:p>
      <w:r>
        <w:rPr>
          <w:b/>
        </w:rPr>
        <w:t xml:space="preserve">修改前  </w:t>
      </w:r>
      <w:r>
        <w:t>采购、施工、监理、设计分别以个人失位提问。</w:t>
      </w:r>
    </w:p>
    <w:p>
      <w:r>
        <w:rPr>
          <w:b/>
        </w:rPr>
        <w:t xml:space="preserve">修改后  </w:t>
      </w:r>
      <w:r>
        <w:t>责任链由四个个人质问改为五类主体的信息与职责表，补入建设管理和监管责任。</w:t>
      </w:r>
    </w:p>
    <w:p>
      <w:r>
        <w:rPr>
          <w:b/>
        </w:rPr>
        <w:t xml:space="preserve">修改依据  </w:t>
      </w:r>
      <w:r>
        <w:t>事故报告涉及多单位与监管主体，不能只作个人道德归责。</w:t>
      </w:r>
    </w:p>
    <w:p>
      <w:pPr>
        <w:pStyle w:val="Heading2"/>
      </w:pPr>
      <w:r>
        <w:t>第8页 永安电站：证据与风险边界</w:t>
      </w:r>
    </w:p>
    <w:p>
      <w:r>
        <w:rPr>
          <w:b/>
        </w:rPr>
        <w:t xml:space="preserve">修改前  </w:t>
      </w:r>
      <w:r>
        <w:t>媒体数字、官方结论和大坝风险推断混在同一案例中。</w:t>
      </w:r>
    </w:p>
    <w:p>
      <w:r>
        <w:rPr>
          <w:b/>
        </w:rPr>
        <w:t xml:space="preserve">修改后  </w:t>
      </w:r>
      <w:r>
        <w:t>以官方核查替代混合新闻叙述；纠正大坝主体与边坡支护混淆，明确风险边界。</w:t>
      </w:r>
    </w:p>
    <w:p>
      <w:r>
        <w:rPr>
          <w:b/>
        </w:rPr>
        <w:t xml:space="preserve">修改依据  </w:t>
      </w:r>
      <w:r>
        <w:t>2026年1月通报明确大坝主体尚未开工，相关边坡问题不会影响大坝。</w:t>
      </w:r>
    </w:p>
    <w:p>
      <w:pPr>
        <w:pStyle w:val="Heading2"/>
      </w:pPr>
      <w:r>
        <w:t>第9页 首要责任与责任的不同要求</w:t>
      </w:r>
    </w:p>
    <w:p>
      <w:r>
        <w:rPr>
          <w:b/>
        </w:rPr>
        <w:t xml:space="preserve">修改前  </w:t>
      </w:r>
      <w:r>
        <w:t>以教材示例解释3倍安全系数，容易被理解为通用规则。</w:t>
      </w:r>
    </w:p>
    <w:p>
      <w:r>
        <w:rPr>
          <w:b/>
        </w:rPr>
        <w:t xml:space="preserve">修改后  </w:t>
      </w:r>
      <w:r>
        <w:t>保留教材三级要求，删除3倍安全系数的通用化解释，补充适用边界。</w:t>
      </w:r>
    </w:p>
    <w:p>
      <w:r>
        <w:rPr>
          <w:b/>
        </w:rPr>
        <w:t xml:space="preserve">修改依据  </w:t>
      </w:r>
      <w:r>
        <w:t>安全裕度须根据规范、工况和风险确定。</w:t>
      </w:r>
    </w:p>
    <w:p>
      <w:pPr>
        <w:pStyle w:val="Heading2"/>
      </w:pPr>
      <w:r>
        <w:t>第10页 发现质量异常后的行动方案</w:t>
      </w:r>
    </w:p>
    <w:p>
      <w:r>
        <w:rPr>
          <w:b/>
        </w:rPr>
        <w:t xml:space="preserve">修改前  </w:t>
      </w:r>
      <w:r>
        <w:t>签字、内部上报、叫停并报告监管三选一，答案明显。</w:t>
      </w:r>
    </w:p>
    <w:p>
      <w:r>
        <w:rPr>
          <w:b/>
        </w:rPr>
        <w:t xml:space="preserve">修改后  </w:t>
      </w:r>
      <w:r>
        <w:t>删除答案明显的A/B/C选择题，改为证据核实、即时防护、报告升级和记录复核。</w:t>
      </w:r>
    </w:p>
    <w:p>
      <w:r>
        <w:rPr>
          <w:b/>
        </w:rPr>
        <w:t xml:space="preserve">修改依据  </w:t>
      </w:r>
      <w:r>
        <w:t>考察证据、权限和行动次序，更接近专业实践。</w:t>
      </w:r>
    </w:p>
    <w:p>
      <w:pPr>
        <w:pStyle w:val="Heading2"/>
      </w:pPr>
      <w:r>
        <w:t>第11页 工程伦理落实在可执行的行动中</w:t>
      </w:r>
    </w:p>
    <w:p>
      <w:r>
        <w:rPr>
          <w:b/>
        </w:rPr>
        <w:t xml:space="preserve">修改前  </w:t>
      </w:r>
      <w:r>
        <w:t>将事故反复发生统一归因为工程师在每个节点选择低头。</w:t>
      </w:r>
    </w:p>
    <w:p>
      <w:r>
        <w:rPr>
          <w:b/>
        </w:rPr>
        <w:t xml:space="preserve">修改后  </w:t>
      </w:r>
      <w:r>
        <w:t>第一讲小结改为多层次归因与行动闭环，增加离堂评价。</w:t>
      </w:r>
    </w:p>
    <w:p>
      <w:r>
        <w:rPr>
          <w:b/>
        </w:rPr>
        <w:t xml:space="preserve">修改依据  </w:t>
      </w:r>
      <w:r>
        <w:t>事故原因需同时分析技术、组织与监督条件。</w:t>
      </w:r>
    </w:p>
    <w:p>
      <w:r>
        <w:br w:type="page"/>
      </w:r>
    </w:p>
    <w:p>
      <w:pPr>
        <w:pStyle w:val="Heading1"/>
      </w:pPr>
      <w:r>
        <w:t>第二讲第12至17页修改说明</w:t>
      </w:r>
    </w:p>
    <w:p>
      <w:pPr>
        <w:pStyle w:val="Heading2"/>
      </w:pPr>
      <w:r>
        <w:t>第12页 伦理冲突与责任边界</w:t>
      </w:r>
    </w:p>
    <w:p>
      <w:r>
        <w:rPr>
          <w:b/>
        </w:rPr>
        <w:t xml:space="preserve">修改前  </w:t>
      </w:r>
      <w:r>
        <w:t>第二讲以AI幻觉、学术造假及责任边界为副标题。</w:t>
      </w:r>
    </w:p>
    <w:p>
      <w:r>
        <w:rPr>
          <w:b/>
        </w:rPr>
        <w:t xml:space="preserve">修改后  </w:t>
      </w:r>
      <w:r>
        <w:t>第二讲副标题由AI幻觉到学术造假调整为专业判断与责任边界，并统一学校视觉风格。</w:t>
      </w:r>
    </w:p>
    <w:p>
      <w:r>
        <w:rPr>
          <w:b/>
        </w:rPr>
        <w:t xml:space="preserve">修改依据  </w:t>
      </w:r>
      <w:r>
        <w:t>为补充可持续发展、举报和利益冲突留出清晰主题。</w:t>
      </w:r>
    </w:p>
    <w:p>
      <w:pPr>
        <w:pStyle w:val="Heading2"/>
      </w:pPr>
      <w:r>
        <w:t>第13页 AI生成错误信息后的责任边界</w:t>
      </w:r>
    </w:p>
    <w:p>
      <w:r>
        <w:rPr>
          <w:b/>
        </w:rPr>
        <w:t xml:space="preserve">修改前  </w:t>
      </w:r>
      <w:r>
        <w:t>以AI说谎和谁的错引出责任边界。</w:t>
      </w:r>
    </w:p>
    <w:p>
      <w:r>
        <w:rPr>
          <w:b/>
        </w:rPr>
        <w:t xml:space="preserve">修改后  </w:t>
      </w:r>
      <w:r>
        <w:t>减少AI拟人化说谎表述，引导区分技术局限、法律认定与工程伦理要求。</w:t>
      </w:r>
    </w:p>
    <w:p>
      <w:r>
        <w:rPr>
          <w:b/>
        </w:rPr>
        <w:t xml:space="preserve">修改依据  </w:t>
      </w:r>
      <w:r>
        <w:t>生成错误不自动等于故意欺骗或当然侵权。</w:t>
      </w:r>
    </w:p>
    <w:p>
      <w:pPr>
        <w:pStyle w:val="Heading2"/>
      </w:pPr>
      <w:r>
        <w:t>第14页 工程师的权利与三种责任视角</w:t>
      </w:r>
    </w:p>
    <w:p>
      <w:r>
        <w:rPr>
          <w:b/>
        </w:rPr>
        <w:t xml:space="preserve">修改前  </w:t>
      </w:r>
      <w:r>
        <w:t>并列八项权利与三层责任，角色责任表述为承担全部后果。</w:t>
      </w:r>
    </w:p>
    <w:p>
      <w:r>
        <w:rPr>
          <w:b/>
        </w:rPr>
        <w:t xml:space="preserve">修改后  </w:t>
      </w:r>
      <w:r>
        <w:t>八项权利按用途归纳，补入公平待遇；三层责任改为三种视角，删除全部后果的无限归责。</w:t>
      </w:r>
    </w:p>
    <w:p>
      <w:r>
        <w:rPr>
          <w:b/>
        </w:rPr>
        <w:t xml:space="preserve">修改依据  </w:t>
      </w:r>
      <w:r>
        <w:t>责任类别不是逐级递进，也不意味着无限归责。</w:t>
      </w:r>
    </w:p>
    <w:p>
      <w:pPr>
        <w:pStyle w:val="Heading2"/>
      </w:pPr>
      <w:r>
        <w:t>第15页 职业美德与专业行为</w:t>
      </w:r>
    </w:p>
    <w:p>
      <w:r>
        <w:rPr>
          <w:b/>
        </w:rPr>
        <w:t xml:space="preserve">修改前  </w:t>
      </w:r>
      <w:r>
        <w:t>保留三个美德，但较多使用口号式日常表达。</w:t>
      </w:r>
    </w:p>
    <w:p>
      <w:r>
        <w:rPr>
          <w:b/>
        </w:rPr>
        <w:t xml:space="preserve">修改后  </w:t>
      </w:r>
      <w:r>
        <w:t>保留三项美德，以研究生科研与专业工作行为替代口号和人物事件推断。</w:t>
      </w:r>
    </w:p>
    <w:p>
      <w:r>
        <w:rPr>
          <w:b/>
        </w:rPr>
        <w:t xml:space="preserve">修改依据  </w:t>
      </w:r>
      <w:r>
        <w:t>使研究生将工程美德联系到自身科研与专业工作。</w:t>
      </w:r>
    </w:p>
    <w:p>
      <w:pPr>
        <w:pStyle w:val="Heading2"/>
      </w:pPr>
      <w:r>
        <w:t>第16页 伦理冲突的识别与处理</w:t>
      </w:r>
    </w:p>
    <w:p>
      <w:r>
        <w:rPr>
          <w:b/>
        </w:rPr>
        <w:t xml:space="preserve">修改前  </w:t>
      </w:r>
      <w:r>
        <w:t>介绍角色、利益和责任冲突，缺少成套处理方法。</w:t>
      </w:r>
    </w:p>
    <w:p>
      <w:r>
        <w:rPr>
          <w:b/>
        </w:rPr>
        <w:t xml:space="preserve">修改后  </w:t>
      </w:r>
      <w:r>
        <w:t>冲突介绍改为可编辑情境与处理表，补入操作方法，说明不同冲突可重叠。</w:t>
      </w:r>
    </w:p>
    <w:p>
      <w:r>
        <w:rPr>
          <w:b/>
        </w:rPr>
        <w:t xml:space="preserve">修改依据  </w:t>
      </w:r>
      <w:r>
        <w:t>将概念辨认推进到冲突处置。</w:t>
      </w:r>
    </w:p>
    <w:p>
      <w:pPr>
        <w:pStyle w:val="Heading2"/>
      </w:pPr>
      <w:r>
        <w:t>第17页 AI幻觉案：判决与风险预防</w:t>
      </w:r>
    </w:p>
    <w:p>
      <w:r>
        <w:rPr>
          <w:b/>
        </w:rPr>
        <w:t xml:space="preserve">修改前  </w:t>
      </w:r>
      <w:r>
        <w:t>AI幻觉案只讲到起诉，未呈现生效判决及注意义务判断。</w:t>
      </w:r>
    </w:p>
    <w:p>
      <w:r>
        <w:rPr>
          <w:b/>
        </w:rPr>
        <w:t xml:space="preserve">修改后  </w:t>
      </w:r>
      <w:r>
        <w:t>补齐生效判决、实际索赔额和裁判依据；讨论由谁为错误赔偿转为合理注意与风险预防。</w:t>
      </w:r>
    </w:p>
    <w:p>
      <w:r>
        <w:rPr>
          <w:b/>
        </w:rPr>
        <w:t xml:space="preserve">修改依据  </w:t>
      </w:r>
      <w:r>
        <w:t>法院驳回诉求且判决生效，责任讨论应包括具体裁判依据。</w:t>
      </w:r>
    </w:p>
    <w:p>
      <w:r>
        <w:br w:type="page"/>
      </w:r>
    </w:p>
    <w:p>
      <w:pPr>
        <w:pStyle w:val="Heading1"/>
      </w:pPr>
      <w:r>
        <w:t>第二讲第18至22页修改说明</w:t>
      </w:r>
    </w:p>
    <w:p>
      <w:pPr>
        <w:pStyle w:val="Heading2"/>
      </w:pPr>
      <w:r>
        <w:t>第18页 可持续发展：AI算力项目选址</w:t>
      </w:r>
    </w:p>
    <w:p>
      <w:r>
        <w:rPr>
          <w:b/>
        </w:rPr>
        <w:t xml:space="preserve">修改前  </w:t>
      </w:r>
      <w:r>
        <w:t>以世界首例AI互动后杀人作为主课件案例。</w:t>
      </w:r>
    </w:p>
    <w:p>
      <w:r>
        <w:rPr>
          <w:b/>
        </w:rPr>
        <w:t xml:space="preserve">修改后  </w:t>
      </w:r>
      <w:r>
        <w:t>替换AI相关死亡诉讼页，补齐教材可持续发展，使用明确标注的当代工程假设。</w:t>
      </w:r>
    </w:p>
    <w:p>
      <w:r>
        <w:rPr>
          <w:b/>
        </w:rPr>
        <w:t xml:space="preserve">修改依据  </w:t>
      </w:r>
      <w:r>
        <w:t>补齐教材第119页的可持续发展，避免争议因果关系占据主课件。</w:t>
      </w:r>
    </w:p>
    <w:p>
      <w:pPr>
        <w:pStyle w:val="Heading2"/>
      </w:pPr>
      <w:r>
        <w:t>第19页 忠诚与举报：报告何时应当升级</w:t>
      </w:r>
    </w:p>
    <w:p>
      <w:r>
        <w:rPr>
          <w:b/>
        </w:rPr>
        <w:t xml:space="preserve">修改前  </w:t>
      </w:r>
      <w:r>
        <w:t>将字节商业泄密新闻与安全举报的反事实假设用于同场辩论。</w:t>
      </w:r>
    </w:p>
    <w:p>
      <w:r>
        <w:rPr>
          <w:b/>
        </w:rPr>
        <w:t xml:space="preserve">修改后  </w:t>
      </w:r>
      <w:r>
        <w:t>删除字节商业泄密与公共风险举报的混用，改为匿名情境和报告升级流程。</w:t>
      </w:r>
    </w:p>
    <w:p>
      <w:r>
        <w:rPr>
          <w:b/>
        </w:rPr>
        <w:t xml:space="preserve">修改依据  </w:t>
      </w:r>
      <w:r>
        <w:t>商业保密泄露不能未经证实就转写为公共风险举报。</w:t>
      </w:r>
    </w:p>
    <w:p>
      <w:pPr>
        <w:pStyle w:val="Heading2"/>
      </w:pPr>
      <w:r>
        <w:t>第20页 利益冲突与监理的独立判断</w:t>
      </w:r>
    </w:p>
    <w:p>
      <w:r>
        <w:rPr>
          <w:b/>
        </w:rPr>
        <w:t xml:space="preserve">修改前  </w:t>
      </w:r>
      <w:r>
        <w:t>用具体学术造假人物事件推演工程事故与行业信任。</w:t>
      </w:r>
    </w:p>
    <w:p>
      <w:r>
        <w:rPr>
          <w:b/>
        </w:rPr>
        <w:t xml:space="preserve">修改后  </w:t>
      </w:r>
      <w:r>
        <w:t>替换具体学术造假人物新闻，复用永安案例讨论独立性，补入披露与回避操作。</w:t>
      </w:r>
    </w:p>
    <w:p>
      <w:r>
        <w:rPr>
          <w:b/>
        </w:rPr>
        <w:t xml:space="preserve">修改依据  </w:t>
      </w:r>
      <w:r>
        <w:t>官方确认的监理宴请事实能够直接支撑独立性讨论。</w:t>
      </w:r>
    </w:p>
    <w:p>
      <w:pPr>
        <w:pStyle w:val="Heading2"/>
      </w:pPr>
      <w:r>
        <w:t>第21页 伦理决策四问与替代方案</w:t>
      </w:r>
    </w:p>
    <w:p>
      <w:r>
        <w:rPr>
          <w:b/>
        </w:rPr>
        <w:t xml:space="preserve">修改前  </w:t>
      </w:r>
      <w:r>
        <w:t>提供教材四问，但未明确比较替代行动方案。</w:t>
      </w:r>
    </w:p>
    <w:p>
      <w:r>
        <w:rPr>
          <w:b/>
        </w:rPr>
        <w:t xml:space="preserve">修改后  </w:t>
      </w:r>
      <w:r>
        <w:t>保留教材四问，扩展利益相关者、时间尺度和权利，并补入替代方案与复核条件。</w:t>
      </w:r>
    </w:p>
    <w:p>
      <w:r>
        <w:rPr>
          <w:b/>
        </w:rPr>
        <w:t xml:space="preserve">修改依据  </w:t>
      </w:r>
      <w:r>
        <w:t>教材选址案例强调第三种方案，四问之后应继续比较行动选择。</w:t>
      </w:r>
    </w:p>
    <w:p>
      <w:pPr>
        <w:pStyle w:val="Heading2"/>
      </w:pPr>
      <w:r>
        <w:t>第22页 专业责任需要证据与独立判断</w:t>
      </w:r>
    </w:p>
    <w:p>
      <w:r>
        <w:rPr>
          <w:b/>
        </w:rPr>
        <w:t xml:space="preserve">修改前  </w:t>
      </w:r>
      <w:r>
        <w:t>以技术越强大责任边界越宽和良心不变结束。</w:t>
      </w:r>
    </w:p>
    <w:p>
      <w:r>
        <w:rPr>
          <w:b/>
        </w:rPr>
        <w:t xml:space="preserve">修改后  </w:t>
      </w:r>
      <w:r>
        <w:t>将良心与无限扩大的责任口号改为具体职责、证据和合理措施，补充作业评价要点。</w:t>
      </w:r>
    </w:p>
    <w:p>
      <w:r>
        <w:rPr>
          <w:b/>
        </w:rPr>
        <w:t xml:space="preserve">修改依据  </w:t>
      </w:r>
      <w:r>
        <w:t>专业责任应结合风险、职责、权限与合理措施具体判断。</w:t>
      </w:r>
    </w:p>
    <w:p>
      <w:r>
        <w:br w:type="page"/>
      </w:r>
    </w:p>
    <w:p>
      <w:pPr>
        <w:pStyle w:val="Heading1"/>
      </w:pPr>
      <w:r>
        <w:t>两讲的授课安排</w:t>
      </w:r>
    </w:p>
    <w:p>
      <w:r>
        <w:t>课堂以事实核验、职责分析和方案比较为主。下表为45分钟课时的建议分配，具体组织提示已写入各页备注。</w:t>
      </w:r>
    </w:p>
    <w:p>
      <w:pPr>
        <w:pStyle w:val="Heading2"/>
      </w:pPr>
      <w:r>
        <w:t>第一讲 工程职业与公众安全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143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页码</w:t>
            </w:r>
          </w:p>
        </w:tc>
        <w:tc>
          <w:tcPr>
            <w:tcW w:type="dxa" w:w="7143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活动</w:t>
            </w:r>
          </w:p>
        </w:tc>
        <w:tc>
          <w:tcPr>
            <w:tcW w:type="dxa" w:w="1361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分钟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2—3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导入与预习检查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4—5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职业概念与制度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6—8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事故案例与职责链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首要责任原则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分组行动方案演练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离堂任务与反馈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</w:tbl>
    <w:p>
      <w:pPr>
        <w:pStyle w:val="Heading2"/>
      </w:pPr>
      <w:r>
        <w:t>第二讲 专业判断与科技时代责任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143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页码</w:t>
            </w:r>
          </w:p>
        </w:tc>
        <w:tc>
          <w:tcPr>
            <w:tcW w:type="dxa" w:w="7143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活动</w:t>
            </w:r>
          </w:p>
        </w:tc>
        <w:tc>
          <w:tcPr>
            <w:tcW w:type="dxa" w:w="1361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分钟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驱动问题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14—15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权利 责任与职业美德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伦理冲突识别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AI幻觉案讨论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可持续发展情境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19—20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报告升级与利益冲突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四问与替代方案练习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总结与作业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</w:tbl>
    <w:p>
      <w:pPr>
        <w:pStyle w:val="Heading2"/>
      </w:pPr>
      <w:r>
        <w:t>课堂产出与作业评价</w:t>
      </w:r>
    </w:p>
    <w:p>
      <w:r>
        <w:t>第10页要求一项判断、两项证据及分步骤行动方案。第21页要求至少比较两种方案。课后约500字分析任选案例，按事实准确性、伦理依据、替代方案和行动可执行性评价。</w:t>
      </w:r>
    </w:p>
    <w:p>
      <w:r>
        <w:br w:type="page"/>
      </w:r>
    </w:p>
    <w:p>
      <w:pPr>
        <w:pStyle w:val="Heading1"/>
      </w:pPr>
      <w:r>
        <w:t>教材与公开来源</w:t>
      </w:r>
    </w:p>
    <w:p>
      <w:r>
        <w:t>正文事实优先依据官方事故报告、核查通报及法院案例解读。教学假设已在PPT上明确标示，不指向具体项目或当事人。</w:t>
      </w:r>
    </w:p>
    <w:p>
      <w:pPr>
        <w:pStyle w:val="Heading2"/>
      </w:pPr>
      <w:r>
        <w:t>教材第5章</w:t>
      </w:r>
    </w:p>
    <w:p>
      <w:r>
        <w:t>《工程伦理》第2版第5章 工程师的职业伦理</w:t>
      </w:r>
    </w:p>
    <w:p>
      <w:pPr>
        <w:spacing w:after="180"/>
      </w:pPr>
      <w:r>
        <w:rPr>
          <w:sz w:val="18"/>
        </w:rPr>
        <w:t>用户提供《工程伦理 3.pdf》，PDF共22页，对应教材印刷页109—130。重点参照5.1、5.2及5.3。</w:t>
      </w:r>
    </w:p>
    <w:p>
      <w:pPr>
        <w:pStyle w:val="Heading2"/>
      </w:pPr>
      <w:r>
        <w:t>尖扎大桥事故</w:t>
      </w:r>
    </w:p>
    <w:p>
      <w:r>
        <w:t>应急管理部 2026年4月8日公布事故报告</w:t>
      </w:r>
    </w:p>
    <w:p>
      <w:pPr>
        <w:spacing w:after="180"/>
      </w:pPr>
      <w:r>
        <w:rPr>
          <w:sz w:val="18"/>
        </w:rPr>
        <w:t>https://www.mem.gov.cn/xw/zhsgxx/202604/t20260408_599563.shtml</w:t>
      </w:r>
    </w:p>
    <w:p>
      <w:pPr>
        <w:pStyle w:val="Heading2"/>
      </w:pPr>
      <w:r>
        <w:t>尖扎事故完整报告</w:t>
      </w:r>
    </w:p>
    <w:p>
      <w:r>
        <w:t>西成铁路尖扎黄河特大桥施工项目8·22重大垮塌事故调查报告</w:t>
      </w:r>
    </w:p>
    <w:p>
      <w:pPr>
        <w:spacing w:after="180"/>
      </w:pPr>
      <w:r>
        <w:rPr>
          <w:sz w:val="18"/>
        </w:rPr>
        <w:t>https://www.mem.gov.cn/xw/zhsgxx/202604/W020260408816062632654.pdf</w:t>
      </w:r>
    </w:p>
    <w:p>
      <w:pPr>
        <w:pStyle w:val="Heading2"/>
      </w:pPr>
      <w:r>
        <w:t>永安电站核查</w:t>
      </w:r>
    </w:p>
    <w:p>
      <w:r>
        <w:t>永安抽水蓄能电站工程问题核查工作组 2026年1月14日情况通报</w:t>
      </w:r>
    </w:p>
    <w:p>
      <w:pPr>
        <w:spacing w:after="180"/>
      </w:pPr>
      <w:r>
        <w:rPr>
          <w:sz w:val="18"/>
        </w:rPr>
        <w:t>https://fjb.nea.gov.cn/xxgk/gkml/202601/P020260114564238901721.pdf</w:t>
      </w:r>
    </w:p>
    <w:p>
      <w:pPr>
        <w:pStyle w:val="Heading2"/>
      </w:pPr>
      <w:r>
        <w:t>AI幻觉案</w:t>
      </w:r>
    </w:p>
    <w:p>
      <w:r>
        <w:t>人民法院报 全国首例生成式AI幻觉引发侵权之诉 2026年1月</w:t>
      </w:r>
    </w:p>
    <w:p>
      <w:pPr>
        <w:spacing w:after="180"/>
      </w:pPr>
      <w:r>
        <w:rPr>
          <w:sz w:val="18"/>
        </w:rPr>
        <w:t>https://www.zjwx.gov.cn/col/col1673574/art/2026/art_1def58944910459e94f5a04d04c67332.html</w:t>
      </w:r>
    </w:p>
    <w:p>
      <w:pPr>
        <w:pStyle w:val="Heading2"/>
      </w:pPr>
      <w:r>
        <w:t>学校校徽</w:t>
      </w:r>
    </w:p>
    <w:p>
      <w:r>
        <w:t>河南师范大学官网 校徽栏目</w:t>
      </w:r>
    </w:p>
    <w:p>
      <w:pPr>
        <w:spacing w:after="180"/>
      </w:pPr>
      <w:r>
        <w:rPr>
          <w:sz w:val="18"/>
        </w:rPr>
        <w:t>https://www.htu.edu.cn/2024/0201/c21143a297660/page.htm</w:t>
      </w:r>
    </w:p>
    <w:p>
      <w:pPr>
        <w:pStyle w:val="Heading2"/>
      </w:pPr>
      <w:r>
        <w:t>原课件内容与配图</w:t>
      </w:r>
    </w:p>
    <w:p>
      <w:r>
        <w:t>讲课PPT.pptx 及 演讲稿.pdf</w:t>
      </w:r>
    </w:p>
    <w:p>
      <w:pPr>
        <w:spacing w:after="180"/>
      </w:pPr>
      <w:r>
        <w:rPr>
          <w:sz w:val="18"/>
        </w:rPr>
        <w:t>原课件用于核对修改前内容；桥梁照片仅作为原课件场景配图保留。</w:t>
      </w:r>
    </w:p>
    <w:p>
      <w:pPr>
        <w:pStyle w:val="Heading2"/>
      </w:pPr>
      <w:r>
        <w:t>第19页替换依据</w:t>
      </w:r>
    </w:p>
    <w:p>
      <w:r>
        <w:t>字节Seed研究员泄密后续报道</w:t>
      </w:r>
    </w:p>
    <w:p>
      <w:pPr>
        <w:spacing w:after="180"/>
      </w:pPr>
      <w:r>
        <w:rPr>
          <w:sz w:val="18"/>
        </w:rPr>
        <w:t>https://www.ithome.com/0/898/047.htm</w:t>
      </w:r>
    </w:p>
    <w:p>
      <w:r>
        <w:t>公开来源核对日期为2026年10月13日。后续授课如补充新的调查或裁判进展，应在相应页备注中更新日期和链接。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工程伦理讲课PPT修改说明</dc:title>
  <dc:subject>河南师范大学研究生授课课件内容修订与视觉设计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