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工程伦理讲课PPT修改说明</w:t>
      </w:r>
    </w:p>
    <w:p>
      <w:r>
        <w:t>直接讲授版  河南师范大学研究生课程  2026年10月13日</w:t>
      </w:r>
    </w:p>
    <w:p>
      <w:r>
        <w:t>本次修订保留22页和两讲各45分钟的结构，恢复原课件的文字格式与布局。课前准备和课堂互动均改为教师连续讲解；保留已核对的教材概念及案例事实修订。以下页码与最终课件一致。</w:t>
      </w:r>
    </w:p>
    <w:p>
      <w:pPr>
        <w:pStyle w:val="Heading1"/>
      </w:pPr>
      <w:r>
        <w:t>本次调整</w:t>
      </w:r>
    </w:p>
    <w:p>
      <w:r>
        <w:rPr>
          <w:b/>
        </w:rPr>
        <w:t xml:space="preserve">课程组织  </w:t>
      </w:r>
      <w:r>
        <w:t>删除封面预习要求与翻转课堂标识。第2页不再检查准备情况，改为两讲课程目录。</w:t>
      </w:r>
    </w:p>
    <w:p>
      <w:r>
        <w:rPr>
          <w:b/>
        </w:rPr>
        <w:t xml:space="preserve">讲授方式  </w:t>
      </w:r>
      <w:r>
        <w:t>投票、角色扮演、小组讨论、辩论和离堂任务，改为分析结论、处置步骤与讲解示例。取消课后作业要求。</w:t>
      </w:r>
    </w:p>
    <w:p>
      <w:r>
        <w:rPr>
          <w:b/>
        </w:rPr>
        <w:t xml:space="preserve">视觉调整  </w:t>
      </w:r>
      <w:r>
        <w:t>恢复源文件的深浅底色、衬线标题、原有字号、分栏、编号和三张配图。每页增加河师大官方校徽，目录页改用独立深蓝背景。</w:t>
      </w:r>
    </w:p>
    <w:p>
      <w:pPr>
        <w:pStyle w:val="Heading1"/>
      </w:pPr>
      <w:r>
        <w:t>保留与修改范围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7880"/>
      </w:tblGrid>
      <w:tr>
        <w:trPr>
          <w:cantSplit/>
          <w:tblHeader/>
        </w:trPr>
        <w:tc>
          <w:tcPr>
            <w:tcW w:type="dxa" w:w="1757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19"/>
              </w:rPr>
              <w:t>项目</w:t>
            </w:r>
          </w:p>
        </w:tc>
        <w:tc>
          <w:tcPr>
            <w:tcW w:type="dxa" w:w="7880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19"/>
              </w:rPr>
              <w:t>最终处理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文本框</w:t>
            </w:r>
          </w:p>
        </w:tc>
        <w:tc>
          <w:tcPr>
            <w:tcW w:type="dxa" w:w="788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保留源文件161个文本框的位置、尺寸及数量；内容在原框内替换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字体与字号</w:t>
            </w:r>
          </w:p>
        </w:tc>
        <w:tc>
          <w:tcPr>
            <w:tcW w:type="dxa" w:w="7880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保留源文件Noto Serif SC标题和Noto Sans SC正文，以及原有字号层级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颜色与背景</w:t>
            </w:r>
          </w:p>
        </w:tc>
        <w:tc>
          <w:tcPr>
            <w:tcW w:type="dxa" w:w="788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保留原深色案例、导入、小结页与浅色正文；仅目录页单独改色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图片</w:t>
            </w:r>
          </w:p>
        </w:tc>
        <w:tc>
          <w:tcPr>
            <w:tcW w:type="dxa" w:w="7880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恢复源文件桥梁图和两张AI配图，保持原位置、尺寸和裁切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学校标识</w:t>
            </w:r>
          </w:p>
        </w:tc>
        <w:tc>
          <w:tcPr>
            <w:tcW w:type="dxa" w:w="7880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22页均使用学校官网校徽，放在右上角，保持原颜色与比例</w:t>
            </w:r>
          </w:p>
        </w:tc>
      </w:tr>
      <w:tr>
        <w:trPr>
          <w:cantSplit/>
        </w:trPr>
        <w:tc>
          <w:tcPr>
            <w:tcW w:type="dxa" w:w="1757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授课备注</w:t>
            </w:r>
          </w:p>
        </w:tc>
        <w:tc>
          <w:tcPr>
            <w:tcW w:type="dxa" w:w="7880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19"/>
              </w:rPr>
              <w:t>22页均更新为连续讲授提示，并保留教材与公开来源链接</w:t>
            </w:r>
          </w:p>
        </w:tc>
      </w:tr>
    </w:tbl>
    <w:p>
      <w:r>
        <w:rPr>
          <w:b/>
        </w:rPr>
        <w:t xml:space="preserve">使用提示  </w:t>
      </w:r>
      <w:r>
        <w:t>尖扎事故伤亡和41%指标、永安风险范围、AI生效裁判及责任边界等事实修订继续保留。原演讲稿未同步改写，讲授应以新版页面及备注为准。</w:t>
      </w:r>
    </w:p>
    <w:p>
      <w:r>
        <w:br w:type="page"/>
      </w:r>
    </w:p>
    <w:p>
      <w:pPr>
        <w:pStyle w:val="Heading1"/>
      </w:pPr>
      <w:r>
        <w:t>第一讲第1至6页</w:t>
      </w:r>
    </w:p>
    <w:p>
      <w:pPr>
        <w:pStyle w:val="Heading2"/>
      </w:pPr>
      <w:r>
        <w:t>第1页 工程师的职业伦理</w:t>
      </w:r>
    </w:p>
    <w:p>
      <w:r>
        <w:rPr>
          <w:b/>
        </w:rPr>
        <w:t xml:space="preserve">源课件  </w:t>
      </w:r>
      <w:r>
        <w:t>封面含翻转课堂第一讲和课前预习要求。</w:t>
      </w:r>
    </w:p>
    <w:p>
      <w:r>
        <w:rPr>
          <w:b/>
        </w:rPr>
        <w:t xml:space="preserve">最终修改  </w:t>
      </w:r>
      <w:r>
        <w:t>删除课前预习及翻转课堂表述；恢复源文件深色封面、衬线标题和原有位置，加入校徽。</w:t>
      </w:r>
    </w:p>
    <w:p>
      <w:r>
        <w:rPr>
          <w:b/>
        </w:rPr>
        <w:t xml:space="preserve">讲授提示  </w:t>
      </w:r>
      <w:r>
        <w:t>第一讲45分钟，采用直接讲授方式。</w:t>
      </w:r>
    </w:p>
    <w:p>
      <w:pPr>
        <w:pStyle w:val="Heading2"/>
      </w:pPr>
      <w:r>
        <w:t>第2页 课程目录与讲授重点</w:t>
      </w:r>
    </w:p>
    <w:p>
      <w:r>
        <w:rPr>
          <w:b/>
        </w:rPr>
        <w:t xml:space="preserve">源课件  </w:t>
      </w:r>
      <w:r>
        <w:t>左栏为预习回顾，底部说明课堂用于讨论。</w:t>
      </w:r>
    </w:p>
    <w:p>
      <w:r>
        <w:rPr>
          <w:b/>
        </w:rPr>
        <w:t xml:space="preserve">最终修改  </w:t>
      </w:r>
      <w:r>
        <w:t>课前准备页改为两讲目录；原双栏位置、字号与字体保留，背景改为深蓝色并调整文字对比度。</w:t>
      </w:r>
    </w:p>
    <w:p>
      <w:r>
        <w:rPr>
          <w:b/>
        </w:rPr>
        <w:t xml:space="preserve">讲授提示  </w:t>
      </w:r>
      <w:r>
        <w:t>本页作为全课目录，由教师用约2分钟说明两讲的逻辑。</w:t>
      </w:r>
    </w:p>
    <w:p>
      <w:pPr>
        <w:pStyle w:val="Heading2"/>
      </w:pPr>
      <w:r>
        <w:t>第3页 工程事故中的多重失效</w:t>
      </w:r>
    </w:p>
    <w:p>
      <w:r>
        <w:rPr>
          <w:b/>
        </w:rPr>
        <w:t xml:space="preserve">源课件  </w:t>
      </w:r>
      <w:r>
        <w:t>以连续追问和立场选择作为导入。</w:t>
      </w:r>
    </w:p>
    <w:p>
      <w:r>
        <w:rPr>
          <w:b/>
        </w:rPr>
        <w:t xml:space="preserve">最终修改  </w:t>
      </w:r>
      <w:r>
        <w:t>驱动问题改为三层分析结论；删除选择立场与面向同学的追问，保留原大标题和深色导入版式。</w:t>
      </w:r>
    </w:p>
    <w:p>
      <w:r>
        <w:rPr>
          <w:b/>
        </w:rPr>
        <w:t xml:space="preserve">讲授提示  </w:t>
      </w:r>
      <w:r>
        <w:t>用三聚氰胺这一教材引导案例说明，专业知识能够被用于保障安全，也可能被不当使用。</w:t>
      </w:r>
    </w:p>
    <w:p>
      <w:pPr>
        <w:pStyle w:val="Heading2"/>
      </w:pPr>
      <w:r>
        <w:t>第4页 工程职业的性质与公共责任</w:t>
      </w:r>
    </w:p>
    <w:p>
      <w:r>
        <w:rPr>
          <w:b/>
        </w:rPr>
        <w:t xml:space="preserve">源课件  </w:t>
      </w:r>
      <w:r>
        <w:t>原三栏介绍训练、社团自治和公共福祉。</w:t>
      </w:r>
    </w:p>
    <w:p>
      <w:r>
        <w:rPr>
          <w:b/>
        </w:rPr>
        <w:t xml:space="preserve">最终修改  </w:t>
      </w:r>
      <w:r>
        <w:t>保留原三栏和蓝色小标题；修正职业自治与服务对象的绝对表述，将标题改为陈述句。</w:t>
      </w:r>
    </w:p>
    <w:p>
      <w:r>
        <w:rPr>
          <w:b/>
        </w:rPr>
        <w:t xml:space="preserve">讲授提示  </w:t>
      </w:r>
      <w:r>
        <w:t>参照教材印刷页110—114，解释职业不只是获得报酬的一份工作。</w:t>
      </w:r>
    </w:p>
    <w:p>
      <w:pPr>
        <w:pStyle w:val="Heading2"/>
      </w:pPr>
      <w:r>
        <w:t>第5页 注册执业制度的典型路径</w:t>
      </w:r>
    </w:p>
    <w:p>
      <w:r>
        <w:rPr>
          <w:b/>
        </w:rPr>
        <w:t xml:space="preserve">源课件  </w:t>
      </w:r>
      <w:r>
        <w:t>将持证上岗概括为统一五道关口。</w:t>
      </w:r>
    </w:p>
    <w:p>
      <w:r>
        <w:rPr>
          <w:b/>
        </w:rPr>
        <w:t xml:space="preserve">最终修改  </w:t>
      </w:r>
      <w:r>
        <w:t>保留原五行编号列表；删除所有工程师统一持证、统一两阶段考试的概括。</w:t>
      </w:r>
    </w:p>
    <w:p>
      <w:r>
        <w:rPr>
          <w:b/>
        </w:rPr>
        <w:t xml:space="preserve">讲授提示  </w:t>
      </w:r>
      <w:r>
        <w:t>教材印刷页112—113介绍典型注册执业制度。</w:t>
      </w:r>
    </w:p>
    <w:p>
      <w:pPr>
        <w:pStyle w:val="Heading2"/>
      </w:pPr>
      <w:r>
        <w:t>第6页 尖扎大桥：多道安全防线失效</w:t>
      </w:r>
    </w:p>
    <w:p>
      <w:r>
        <w:rPr>
          <w:b/>
        </w:rPr>
        <w:t xml:space="preserve">源课件  </w:t>
      </w:r>
      <w:r>
        <w:t>以16条生命及不合格螺栓作主标题。</w:t>
      </w:r>
    </w:p>
    <w:p>
      <w:r>
        <w:rPr>
          <w:b/>
        </w:rPr>
        <w:t xml:space="preserve">最终修改  </w:t>
      </w:r>
      <w:r>
        <w:t>保留原左文右图和红白标题；纠正伤亡、41%指标及单因归责，原配图注明用途。</w:t>
      </w:r>
    </w:p>
    <w:p>
      <w:r>
        <w:rPr>
          <w:b/>
        </w:rPr>
        <w:t xml:space="preserve">讲授提示  </w:t>
      </w:r>
      <w:r>
        <w:t>官方事故调查报告的伤亡口径为13人死亡、3人失联，不应合并成16人死亡。</w:t>
      </w:r>
    </w:p>
    <w:p>
      <w:r>
        <w:br w:type="page"/>
      </w:r>
    </w:p>
    <w:p>
      <w:pPr>
        <w:pStyle w:val="Heading1"/>
      </w:pPr>
      <w:r>
        <w:t>第一讲第7至11页</w:t>
      </w:r>
    </w:p>
    <w:p>
      <w:pPr>
        <w:pStyle w:val="Heading2"/>
      </w:pPr>
      <w:r>
        <w:t>第7页 事故责任链：从采购到监管</w:t>
      </w:r>
    </w:p>
    <w:p>
      <w:r>
        <w:rPr>
          <w:b/>
        </w:rPr>
        <w:t xml:space="preserve">源课件  </w:t>
      </w:r>
      <w:r>
        <w:t>四栏用个人失位质问，下方安排讨论。</w:t>
      </w:r>
    </w:p>
    <w:p>
      <w:r>
        <w:rPr>
          <w:b/>
        </w:rPr>
        <w:t xml:space="preserve">最终修改  </w:t>
      </w:r>
      <w:r>
        <w:t>恢复原四栏责任链；互动质问改为履职说明，下方讨论区改为建设管理与监管责任。</w:t>
      </w:r>
    </w:p>
    <w:p>
      <w:r>
        <w:rPr>
          <w:b/>
        </w:rPr>
        <w:t xml:space="preserve">讲授提示  </w:t>
      </w:r>
      <w:r>
        <w:t>沿用源课件四栏，依次讲解采购、施工、监理和设计如何获取证据、履行职责。</w:t>
      </w:r>
    </w:p>
    <w:p>
      <w:pPr>
        <w:pStyle w:val="Heading2"/>
      </w:pPr>
      <w:r>
        <w:t>第8页 永安电站：质量问题与风险边界</w:t>
      </w:r>
    </w:p>
    <w:p>
      <w:r>
        <w:rPr>
          <w:b/>
        </w:rPr>
        <w:t xml:space="preserve">源课件  </w:t>
      </w:r>
      <w:r>
        <w:t>媒体数字与官方核查、风险推断混写。</w:t>
      </w:r>
    </w:p>
    <w:p>
      <w:r>
        <w:rPr>
          <w:b/>
        </w:rPr>
        <w:t xml:space="preserve">最终修改  </w:t>
      </w:r>
      <w:r>
        <w:t>保留原双栏布局；以官方核查替换混合叙述，明确边坡支护与大坝主体的区别。</w:t>
      </w:r>
    </w:p>
    <w:p>
      <w:r>
        <w:rPr>
          <w:b/>
        </w:rPr>
        <w:t xml:space="preserve">讲授提示  </w:t>
      </w:r>
      <w:r>
        <w:t>官方核查对质量问题作了确认，也界定了风险范围：大坝主体尚未开工，相关边坡问题在极端工况下可能导致局部塌方和道路受阻，不会影响大坝。</w:t>
      </w:r>
    </w:p>
    <w:p>
      <w:pPr>
        <w:pStyle w:val="Heading2"/>
      </w:pPr>
      <w:r>
        <w:t>第9页 工程师的首要责任与不同要求</w:t>
      </w:r>
    </w:p>
    <w:p>
      <w:r>
        <w:rPr>
          <w:b/>
        </w:rPr>
        <w:t xml:space="preserve">源课件  </w:t>
      </w:r>
      <w:r>
        <w:t>用3倍安全系数举例，并附追问。</w:t>
      </w:r>
    </w:p>
    <w:p>
      <w:r>
        <w:rPr>
          <w:b/>
        </w:rPr>
        <w:t xml:space="preserve">最终修改  </w:t>
      </w:r>
      <w:r>
        <w:t>保留原核心句与三栏；澄清责任要求和安全裕度，删除互动追问。</w:t>
      </w:r>
    </w:p>
    <w:p>
      <w:r>
        <w:rPr>
          <w:b/>
        </w:rPr>
        <w:t xml:space="preserve">讲授提示  </w:t>
      </w:r>
      <w:r>
        <w:t>参照教材印刷页116、118—119，保留公众安全、健康和福祉优先的核心原则。</w:t>
      </w:r>
    </w:p>
    <w:p>
      <w:pPr>
        <w:pStyle w:val="Heading2"/>
      </w:pPr>
      <w:r>
        <w:t>第10页 质量异常的处置：核验、控制与复核</w:t>
      </w:r>
    </w:p>
    <w:p>
      <w:r>
        <w:rPr>
          <w:b/>
        </w:rPr>
        <w:t xml:space="preserve">源课件  </w:t>
      </w:r>
      <w:r>
        <w:t>角色扮演，A/B/C选择和投票辩论。</w:t>
      </w:r>
    </w:p>
    <w:p>
      <w:r>
        <w:rPr>
          <w:b/>
        </w:rPr>
        <w:t xml:space="preserve">最终修改  </w:t>
      </w:r>
      <w:r>
        <w:t>原角色扮演和A/B/C投票改为教师讲解的处置示例；保留情境段落、三个横向步骤和底部说明。</w:t>
      </w:r>
    </w:p>
    <w:p>
      <w:r>
        <w:rPr>
          <w:b/>
        </w:rPr>
        <w:t xml:space="preserve">讲授提示  </w:t>
      </w:r>
      <w:r>
        <w:t>本页为教学假设，由教师完整演示处置过程。</w:t>
      </w:r>
    </w:p>
    <w:p>
      <w:pPr>
        <w:pStyle w:val="Heading2"/>
      </w:pPr>
      <w:r>
        <w:t>第11页 第一讲小结：专业责任如何落实</w:t>
      </w:r>
    </w:p>
    <w:p>
      <w:r>
        <w:rPr>
          <w:b/>
        </w:rPr>
        <w:t xml:space="preserve">源课件  </w:t>
      </w:r>
      <w:r>
        <w:t>将事故归因为工程师都选择低头。</w:t>
      </w:r>
    </w:p>
    <w:p>
      <w:r>
        <w:rPr>
          <w:b/>
        </w:rPr>
        <w:t xml:space="preserve">最终修改  </w:t>
      </w:r>
      <w:r>
        <w:t>恢复源文件深色总结页；纠正单一个人归责，删除离堂任务，改为三条讲授总结。</w:t>
      </w:r>
    </w:p>
    <w:p>
      <w:r>
        <w:rPr>
          <w:b/>
        </w:rPr>
        <w:t xml:space="preserve">讲授提示  </w:t>
      </w:r>
      <w:r>
        <w:t>用3分钟总结第一讲。</w:t>
      </w:r>
    </w:p>
    <w:p>
      <w:r>
        <w:br w:type="page"/>
      </w:r>
    </w:p>
    <w:p>
      <w:pPr>
        <w:pStyle w:val="Heading1"/>
      </w:pPr>
      <w:r>
        <w:t>第二讲第12至17页</w:t>
      </w:r>
    </w:p>
    <w:p>
      <w:pPr>
        <w:pStyle w:val="Heading2"/>
      </w:pPr>
      <w:r>
        <w:t>第12页 伦理冲突与科技时代责任</w:t>
      </w:r>
    </w:p>
    <w:p>
      <w:r>
        <w:rPr>
          <w:b/>
        </w:rPr>
        <w:t xml:space="preserve">源课件  </w:t>
      </w:r>
      <w:r>
        <w:t>第二讲封面含预习、翻转课堂及AI图。</w:t>
      </w:r>
    </w:p>
    <w:p>
      <w:r>
        <w:rPr>
          <w:b/>
        </w:rPr>
        <w:t xml:space="preserve">最终修改  </w:t>
      </w:r>
      <w:r>
        <w:t>删除预习要求；恢复原深色分讲封面与右侧AI配图，补充校徽。</w:t>
      </w:r>
    </w:p>
    <w:p>
      <w:r>
        <w:rPr>
          <w:b/>
        </w:rPr>
        <w:t xml:space="preserve">讲授提示  </w:t>
      </w:r>
      <w:r>
        <w:t>第二讲45分钟，仍采用直接讲授。</w:t>
      </w:r>
    </w:p>
    <w:p>
      <w:pPr>
        <w:pStyle w:val="Heading2"/>
      </w:pPr>
      <w:r>
        <w:t>第13页 AI错误信息与工程师的责任边界</w:t>
      </w:r>
    </w:p>
    <w:p>
      <w:r>
        <w:rPr>
          <w:b/>
        </w:rPr>
        <w:t xml:space="preserve">源课件  </w:t>
      </w:r>
      <w:r>
        <w:t>以AI说谎及谁的错引出讨论。</w:t>
      </w:r>
    </w:p>
    <w:p>
      <w:r>
        <w:rPr>
          <w:b/>
        </w:rPr>
        <w:t xml:space="preserve">最终修改  </w:t>
      </w:r>
      <w:r>
        <w:t>保留原深色大字导入页；拟人化追问改为技术、法律和伦理责任的陈述。</w:t>
      </w:r>
    </w:p>
    <w:p>
      <w:r>
        <w:rPr>
          <w:b/>
        </w:rPr>
        <w:t xml:space="preserve">讲授提示  </w:t>
      </w:r>
      <w:r>
        <w:t>区分AI生成错误、法律侵权认定和工程伦理要求。</w:t>
      </w:r>
    </w:p>
    <w:p>
      <w:pPr>
        <w:pStyle w:val="Heading2"/>
      </w:pPr>
      <w:r>
        <w:t>第14页 工程师的职业权利与责任视角</w:t>
      </w:r>
    </w:p>
    <w:p>
      <w:r>
        <w:rPr>
          <w:b/>
        </w:rPr>
        <w:t xml:space="preserve">源课件  </w:t>
      </w:r>
      <w:r>
        <w:t>八项权利与三层责任，含全部后果表述。</w:t>
      </w:r>
    </w:p>
    <w:p>
      <w:r>
        <w:rPr>
          <w:b/>
        </w:rPr>
        <w:t xml:space="preserve">最终修改  </w:t>
      </w:r>
      <w:r>
        <w:t>恢复原八项权利列表和双栏结构；三层责任改为三种视角，修正申述及无限归责表述。</w:t>
      </w:r>
    </w:p>
    <w:p>
      <w:r>
        <w:rPr>
          <w:b/>
        </w:rPr>
        <w:t xml:space="preserve">讲授提示  </w:t>
      </w:r>
      <w:r>
        <w:t>依据教材印刷页120—121，恢复源课件左侧八项权利的完整列表，以右侧三种责任视角相对应。</w:t>
      </w:r>
    </w:p>
    <w:p>
      <w:pPr>
        <w:pStyle w:val="Heading2"/>
      </w:pPr>
      <w:r>
        <w:t>第15页 工程师的三个核心职业美德</w:t>
      </w:r>
    </w:p>
    <w:p>
      <w:r>
        <w:rPr>
          <w:b/>
        </w:rPr>
        <w:t xml:space="preserve">源课件  </w:t>
      </w:r>
      <w:r>
        <w:t>原纵向三项美德，含口号式说明。</w:t>
      </w:r>
    </w:p>
    <w:p>
      <w:r>
        <w:rPr>
          <w:b/>
        </w:rPr>
        <w:t xml:space="preserve">最终修改  </w:t>
      </w:r>
      <w:r>
        <w:t>保留原纵向编号、字体与字号；职业美德改为可直接讲解的科研与工程行为。</w:t>
      </w:r>
    </w:p>
    <w:p>
      <w:r>
        <w:rPr>
          <w:b/>
        </w:rPr>
        <w:t xml:space="preserve">讲授提示  </w:t>
      </w:r>
      <w:r>
        <w:t>保留源课件纵向01、02、03的结构，依次说明诚实可靠、尽职尽责和忠实服务。</w:t>
      </w:r>
    </w:p>
    <w:p>
      <w:pPr>
        <w:pStyle w:val="Heading2"/>
      </w:pPr>
      <w:r>
        <w:t>第16页 三种伦理冲突及其处理方向</w:t>
      </w:r>
    </w:p>
    <w:p>
      <w:r>
        <w:rPr>
          <w:b/>
        </w:rPr>
        <w:t xml:space="preserve">源课件  </w:t>
      </w:r>
      <w:r>
        <w:t>原三栏冲突，含选边与客观性追问。</w:t>
      </w:r>
    </w:p>
    <w:p>
      <w:r>
        <w:rPr>
          <w:b/>
        </w:rPr>
        <w:t xml:space="preserve">最终修改  </w:t>
      </w:r>
      <w:r>
        <w:t>恢复原三栏，去掉对同学的提问；每类冲突直接附处理方向。</w:t>
      </w:r>
    </w:p>
    <w:p>
      <w:r>
        <w:rPr>
          <w:b/>
        </w:rPr>
        <w:t xml:space="preserve">讲授提示  </w:t>
      </w:r>
      <w:r>
        <w:t>参照教材印刷页123—127，按照源文件三栏结构讲角色、利益和责任冲突。</w:t>
      </w:r>
    </w:p>
    <w:p>
      <w:pPr>
        <w:pStyle w:val="Heading2"/>
      </w:pPr>
      <w:r>
        <w:t>第17页 AI幻觉案：生效判决与预防要求</w:t>
      </w:r>
    </w:p>
    <w:p>
      <w:r>
        <w:rPr>
          <w:b/>
        </w:rPr>
        <w:t xml:space="preserve">源课件  </w:t>
      </w:r>
      <w:r>
        <w:t>AI案例仅讲到起诉，未呈现生效裁判。</w:t>
      </w:r>
    </w:p>
    <w:p>
      <w:r>
        <w:rPr>
          <w:b/>
        </w:rPr>
        <w:t xml:space="preserve">最终修改  </w:t>
      </w:r>
      <w:r>
        <w:t>恢复原左文右图、红白标题；补入生效裁判及金额区别，由教师说明预防要求。</w:t>
      </w:r>
    </w:p>
    <w:p>
      <w:r>
        <w:rPr>
          <w:b/>
        </w:rPr>
        <w:t xml:space="preserve">讲授提示  </w:t>
      </w:r>
      <w:r>
        <w:t>说明10万元是模型生成的赔偿承诺，实际诉讼请求是9999元。</w:t>
      </w:r>
    </w:p>
    <w:p>
      <w:r>
        <w:br w:type="page"/>
      </w:r>
    </w:p>
    <w:p>
      <w:pPr>
        <w:pStyle w:val="Heading1"/>
      </w:pPr>
      <w:r>
        <w:t>第二讲第18至22页</w:t>
      </w:r>
    </w:p>
    <w:p>
      <w:pPr>
        <w:pStyle w:val="Heading2"/>
      </w:pPr>
      <w:r>
        <w:t>第18页 可持续发展：AI算力项目的选址审查</w:t>
      </w:r>
    </w:p>
    <w:p>
      <w:r>
        <w:rPr>
          <w:b/>
        </w:rPr>
        <w:t xml:space="preserve">源课件  </w:t>
      </w:r>
      <w:r>
        <w:t>原为AI互动后的死亡诉讼与伦理追问。</w:t>
      </w:r>
    </w:p>
    <w:p>
      <w:r>
        <w:rPr>
          <w:b/>
        </w:rPr>
        <w:t xml:space="preserve">最终修改  </w:t>
      </w:r>
      <w:r>
        <w:t>保留原两栏；使用上一版补入的可持续发展内容，将小组审查改为教师讲解的审查方向。</w:t>
      </w:r>
    </w:p>
    <w:p>
      <w:r>
        <w:rPr>
          <w:b/>
        </w:rPr>
        <w:t xml:space="preserve">讲授提示  </w:t>
      </w:r>
      <w:r>
        <w:t>以教材印刷页119的可持续发展要求及126—127的选址讨论为基础。</w:t>
      </w:r>
    </w:p>
    <w:p>
      <w:pPr>
        <w:pStyle w:val="Heading2"/>
      </w:pPr>
      <w:r>
        <w:t>第19页 忠诚与举报：必要的报告与升级</w:t>
      </w:r>
    </w:p>
    <w:p>
      <w:r>
        <w:rPr>
          <w:b/>
        </w:rPr>
        <w:t xml:space="preserve">源课件  </w:t>
      </w:r>
      <w:r>
        <w:t>用商业泄密新闻进行正反方辩论。</w:t>
      </w:r>
    </w:p>
    <w:p>
      <w:r>
        <w:rPr>
          <w:b/>
        </w:rPr>
        <w:t xml:space="preserve">最终修改  </w:t>
      </w:r>
      <w:r>
        <w:t>恢复源文件情境加双栏；正反方辩论改为保密边界与报告流程，删除现场讨论。</w:t>
      </w:r>
    </w:p>
    <w:p>
      <w:r>
        <w:rPr>
          <w:b/>
        </w:rPr>
        <w:t xml:space="preserve">讲授提示  </w:t>
      </w:r>
      <w:r>
        <w:t>教材印刷页119建议通常通过组织渠道、准确记录、咨询同事、职业学会或律师；紧急情形需要及时行动。</w:t>
      </w:r>
    </w:p>
    <w:p>
      <w:pPr>
        <w:pStyle w:val="Heading2"/>
      </w:pPr>
      <w:r>
        <w:t>第20页 利益冲突与监理的独立判断</w:t>
      </w:r>
    </w:p>
    <w:p>
      <w:r>
        <w:rPr>
          <w:b/>
        </w:rPr>
        <w:t xml:space="preserve">源课件  </w:t>
      </w:r>
      <w:r>
        <w:t>原为具体学术造假人物案例及推演。</w:t>
      </w:r>
    </w:p>
    <w:p>
      <w:r>
        <w:rPr>
          <w:b/>
        </w:rPr>
        <w:t xml:space="preserve">最终修改  </w:t>
      </w:r>
      <w:r>
        <w:t>保留原两栏；上一版永安利益冲突案例改为事实、风险和处置结论，删除互动。</w:t>
      </w:r>
    </w:p>
    <w:p>
      <w:r>
        <w:rPr>
          <w:b/>
        </w:rPr>
        <w:t xml:space="preserve">讲授提示  </w:t>
      </w:r>
      <w:r>
        <w:t>官方核查确认监理接受施工企业宴请，保留与独立判断有关的事实即可。</w:t>
      </w:r>
    </w:p>
    <w:p>
      <w:pPr>
        <w:pStyle w:val="Heading2"/>
      </w:pPr>
      <w:r>
        <w:t>第21页 伦理决策的四项审查与替代方案</w:t>
      </w:r>
    </w:p>
    <w:p>
      <w:r>
        <w:rPr>
          <w:b/>
        </w:rPr>
        <w:t xml:space="preserve">源课件  </w:t>
      </w:r>
      <w:r>
        <w:t>原四行Q1—Q4，以提问形式呈现。</w:t>
      </w:r>
    </w:p>
    <w:p>
      <w:r>
        <w:rPr>
          <w:b/>
        </w:rPr>
        <w:t xml:space="preserve">最终修改  </w:t>
      </w:r>
      <w:r>
        <w:t>恢复源四行编号版式；伦理四问转为四项审查陈述，替代方案由教师示范讲解。</w:t>
      </w:r>
    </w:p>
    <w:p>
      <w:r>
        <w:rPr>
          <w:b/>
        </w:rPr>
        <w:t xml:space="preserve">讲授提示  </w:t>
      </w:r>
      <w:r>
        <w:t>教材印刷页125—127提出四问，本页用四项审查直接讲解其内容，仍保留源课件四行编号和文字位置。</w:t>
      </w:r>
    </w:p>
    <w:p>
      <w:pPr>
        <w:pStyle w:val="Heading2"/>
      </w:pPr>
      <w:r>
        <w:t>第22页 第二讲小结：证据、职责与独立判断</w:t>
      </w:r>
    </w:p>
    <w:p>
      <w:r>
        <w:rPr>
          <w:b/>
        </w:rPr>
        <w:t xml:space="preserve">源课件  </w:t>
      </w:r>
      <w:r>
        <w:t>以责任不断扩大和良心不变作总结。</w:t>
      </w:r>
    </w:p>
    <w:p>
      <w:r>
        <w:rPr>
          <w:b/>
        </w:rPr>
        <w:t xml:space="preserve">最终修改  </w:t>
      </w:r>
      <w:r>
        <w:t>恢复原深色三条总结布局；删除课后任务，改为证据、职责与独立判断的讲授小结。</w:t>
      </w:r>
    </w:p>
    <w:p>
      <w:r>
        <w:rPr>
          <w:b/>
        </w:rPr>
        <w:t xml:space="preserve">讲授提示  </w:t>
      </w:r>
      <w:r>
        <w:t>用3分钟总结第二讲。</w:t>
      </w:r>
    </w:p>
    <w:p>
      <w:r>
        <w:br w:type="page"/>
      </w:r>
    </w:p>
    <w:p>
      <w:pPr>
        <w:pStyle w:val="Heading1"/>
      </w:pPr>
      <w:r>
        <w:t>直接讲授的时间安排</w:t>
      </w:r>
    </w:p>
    <w:p>
      <w:r>
        <w:t>每个环节均由教师讲解，原互动时间用于案例分析、方法说明和处置示范。下表是建议分配，可按实际语速调整。</w:t>
      </w:r>
    </w:p>
    <w:p>
      <w:pPr>
        <w:pStyle w:val="Heading2"/>
      </w:pPr>
      <w:r>
        <w:t>第一讲 工程职业与公众安全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7143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页码</w:t>
            </w:r>
          </w:p>
        </w:tc>
        <w:tc>
          <w:tcPr>
            <w:tcW w:type="dxa" w:w="7143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讲授内容</w:t>
            </w:r>
          </w:p>
        </w:tc>
        <w:tc>
          <w:tcPr>
            <w:tcW w:type="dxa" w:w="1361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分钟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1—3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开场、目录和案例导入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4—5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职业概念与制度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6—8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事故案例与责任链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9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首要责任原则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质量异常处置示例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11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第一讲小结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45</w:t>
            </w:r>
          </w:p>
        </w:tc>
      </w:tr>
    </w:tbl>
    <w:p>
      <w:pPr>
        <w:pStyle w:val="Heading2"/>
      </w:pPr>
      <w:r>
        <w:t>第二讲 伦理冲突与科技时代责任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7143"/>
        <w:gridCol w:w="1361"/>
      </w:tblGrid>
      <w:tr>
        <w:trPr>
          <w:cantSplit/>
          <w:tblHeader/>
        </w:trPr>
        <w:tc>
          <w:tcPr>
            <w:tcW w:type="dxa" w:w="1134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页码</w:t>
            </w:r>
          </w:p>
        </w:tc>
        <w:tc>
          <w:tcPr>
            <w:tcW w:type="dxa" w:w="7143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讲授内容</w:t>
            </w:r>
          </w:p>
        </w:tc>
        <w:tc>
          <w:tcPr>
            <w:tcW w:type="dxa" w:w="1361"/>
            <w:vAlign w:val="center"/>
            <w:shd w:fill="E8EAED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/>
                <w:color w:val="000000"/>
                <w:sz w:val="20"/>
              </w:rPr>
              <w:t>分钟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12—13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开场和责任边界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14—15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权利、责任与职业美德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7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16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伦理冲突及处理方向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17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AI案例判决与预防要求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18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可持续发展选址分析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19—20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举报及利益冲突处理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8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21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决策审查与替代方案</w:t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22</w:t>
            </w:r>
          </w:p>
        </w:tc>
        <w:tc>
          <w:tcPr>
            <w:tcW w:type="dxa" w:w="7143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第二讲小结</w:t>
            </w:r>
          </w:p>
        </w:tc>
        <w:tc>
          <w:tcPr>
            <w:tcW w:type="dxa" w:w="1361"/>
            <w:vAlign w:val="center"/>
            <w:shd w:fill="F6F7F8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3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合计</w:t>
            </w:r>
          </w:p>
        </w:tc>
        <w:tc>
          <w:tcPr>
            <w:tcW w:type="dxa" w:w="7143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</w:r>
          </w:p>
        </w:tc>
        <w:tc>
          <w:tcPr>
            <w:tcW w:type="dxa" w:w="1361"/>
            <w:vAlign w:val="center"/>
            <w:shd w:fill="FFFFFF"/>
            <w:tcMar>
              <w:top w:w="85" w:type="dxa"/>
              <w:bottom w:w="85" w:type="dxa"/>
              <w:left w:w="100" w:type="dxa"/>
              <w:right w:w="100" w:type="dxa"/>
            </w:tcMar>
          </w:tcPr>
          <w:p>
            <w:pPr>
              <w:spacing w:after="20" w:line="264" w:lineRule="auto"/>
            </w:pPr>
            <w:r>
              <w:rPr>
                <w:b w:val="0"/>
                <w:color w:val="000000"/>
                <w:sz w:val="20"/>
              </w:rPr>
              <w:t>45</w:t>
            </w:r>
          </w:p>
        </w:tc>
      </w:tr>
    </w:tbl>
    <w:p>
      <w:pPr>
        <w:pStyle w:val="Heading2"/>
      </w:pPr>
      <w:r>
        <w:t>连续讲授的衔接</w:t>
      </w:r>
    </w:p>
    <w:p>
      <w:r>
        <w:t>第一讲以职业性质说明公共责任，再用事故案例呈现制度与履职问题，最后给出处置顺序。第二讲从权利、美德和冲突走向案例与方法，用四项审查和替代方案收束。相关分析结论已写在页面上，补充解释置于备注。</w:t>
      </w:r>
    </w:p>
    <w:p>
      <w:r>
        <w:br w:type="page"/>
      </w:r>
    </w:p>
    <w:p>
      <w:pPr>
        <w:pStyle w:val="Heading1"/>
      </w:pPr>
      <w:r>
        <w:t>教材与公开来源</w:t>
      </w:r>
    </w:p>
    <w:p>
      <w:r>
        <w:t>以下来源支持保留的事实修订。示例情境已在课件上注明假设，不指向具体项目或当事人。</w:t>
      </w:r>
    </w:p>
    <w:p>
      <w:pPr>
        <w:pStyle w:val="Heading2"/>
      </w:pPr>
      <w:r>
        <w:t>教材第5章</w:t>
      </w:r>
    </w:p>
    <w:p>
      <w:r>
        <w:t>《工程伦理》第2版第5章 工程师的职业伦理</w:t>
      </w:r>
    </w:p>
    <w:p>
      <w:r>
        <w:t>用户提供《工程伦理 3.pdf》，22页，对应教材印刷页109—130。</w:t>
      </w:r>
    </w:p>
    <w:p>
      <w:pPr>
        <w:pStyle w:val="Heading2"/>
      </w:pPr>
      <w:r>
        <w:t>尖扎事故</w:t>
      </w:r>
    </w:p>
    <w:p>
      <w:r>
        <w:t>应急管理部2026年4月事故报告</w:t>
      </w:r>
    </w:p>
    <w:p>
      <w:r>
        <w:t>https://www.mem.gov.cn/xw/zhsgxx/202604/t20260408_599563.shtml</w:t>
      </w:r>
    </w:p>
    <w:p>
      <w:pPr>
        <w:pStyle w:val="Heading2"/>
      </w:pPr>
      <w:r>
        <w:t>尖扎完整报告</w:t>
      </w:r>
    </w:p>
    <w:p>
      <w:r>
        <w:t>西成铁路尖扎黄河特大桥施工项目8·22重大垮塌事故调查报告</w:t>
      </w:r>
    </w:p>
    <w:p>
      <w:r>
        <w:t>https://www.mem.gov.cn/xw/zhsgxx/202604/W020260408816062632654.pdf</w:t>
      </w:r>
    </w:p>
    <w:p>
      <w:pPr>
        <w:pStyle w:val="Heading2"/>
      </w:pPr>
      <w:r>
        <w:t>永安核查</w:t>
      </w:r>
    </w:p>
    <w:p>
      <w:r>
        <w:t>永安项目核查工作组2026年1月14日通报</w:t>
      </w:r>
    </w:p>
    <w:p>
      <w:r>
        <w:t>https://fjb.nea.gov.cn/xxgk/gkml/202601/P020260114564238901721.pdf</w:t>
      </w:r>
    </w:p>
    <w:p>
      <w:pPr>
        <w:pStyle w:val="Heading2"/>
      </w:pPr>
      <w:r>
        <w:t>AI幻觉案</w:t>
      </w:r>
    </w:p>
    <w:p>
      <w:r>
        <w:t>人民法院报案例解读，2026年1月，判决已生效</w:t>
      </w:r>
    </w:p>
    <w:p>
      <w:r>
        <w:t>https://www.zjwx.gov.cn/col/col1673574/art/2026/art_1def58944910459e94f5a04d04c67332.html</w:t>
      </w:r>
    </w:p>
    <w:p>
      <w:pPr>
        <w:pStyle w:val="Heading2"/>
      </w:pPr>
      <w:r>
        <w:t>学校校徽</w:t>
      </w:r>
    </w:p>
    <w:p>
      <w:r>
        <w:t>河南师范大学官网校徽栏目</w:t>
      </w:r>
    </w:p>
    <w:p>
      <w:r>
        <w:t>https://www.htu.edu.cn/2024/0201/c21143a297660/page.htm</w:t>
      </w:r>
    </w:p>
    <w:p>
      <w:pPr>
        <w:pStyle w:val="Heading2"/>
      </w:pPr>
      <w:r>
        <w:t>源文件版式与配图</w:t>
      </w:r>
    </w:p>
    <w:p>
      <w:r>
        <w:t>讲课PPT.pptx</w:t>
      </w:r>
    </w:p>
    <w:p>
      <w:r>
        <w:t>源课件用于还原文本位置、字体、字号、配色与原有图片；配图不作为事故或裁判证据。</w:t>
      </w:r>
    </w:p>
    <w:p>
      <w:r>
        <w:t>公开来源核对日期：2026年10月13日。后续新增调查或裁判进展时，应同步更新页面、备注和来源日期。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88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工程伦理讲课PPT修改说明 直接讲授版</dc:title>
  <dc:subject>河南师范大学研究生授课课件内容修订与视觉设计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