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599" w:rsidRDefault="00307599">
      <w:pPr>
        <w:spacing w:before="2" w:after="2"/>
        <w:jc w:val="both"/>
        <w:rPr>
          <w:rFonts w:ascii="Times New Roman" w:hAnsi="Times New Roman" w:cs="Times New Roman"/>
          <w:b/>
          <w:u w:val="single"/>
        </w:rPr>
      </w:pPr>
    </w:p>
    <w:p w:rsidR="000469DE" w:rsidRPr="002737F1" w:rsidRDefault="002737F1" w:rsidP="003D06DC">
      <w:pPr>
        <w:pBdr>
          <w:bottom w:val="single" w:sz="4" w:space="1" w:color="auto"/>
        </w:pBdr>
        <w:spacing w:before="2" w:after="2"/>
        <w:jc w:val="center"/>
      </w:pPr>
      <w:r w:rsidRPr="002737F1">
        <w:rPr>
          <w:rFonts w:ascii="Times New Roman" w:hAnsi="Times New Roman" w:cs="Times New Roman"/>
          <w:b/>
        </w:rPr>
        <w:t>Private Investment</w:t>
      </w:r>
      <w:r>
        <w:rPr>
          <w:rFonts w:ascii="Times New Roman" w:hAnsi="Times New Roman" w:cs="Times New Roman"/>
          <w:b/>
        </w:rPr>
        <w:t xml:space="preserve"> Mana</w:t>
      </w:r>
      <w:r w:rsidRPr="002737F1">
        <w:rPr>
          <w:rFonts w:ascii="Times New Roman" w:hAnsi="Times New Roman" w:cs="Times New Roman"/>
          <w:b/>
        </w:rPr>
        <w:t>gement And Risk Disclosure Agreement</w:t>
      </w:r>
    </w:p>
    <w:p w:rsidR="000469DE" w:rsidRDefault="000469DE">
      <w:pPr>
        <w:spacing w:before="2" w:after="2"/>
        <w:jc w:val="both"/>
      </w:pPr>
    </w:p>
    <w:p w:rsidR="000469DE" w:rsidRDefault="003D06DC">
      <w:pPr>
        <w:spacing w:before="2" w:after="2"/>
        <w:jc w:val="both"/>
      </w:pPr>
      <w:r>
        <w:rPr>
          <w:rFonts w:ascii="Times New Roman" w:hAnsi="Times New Roman" w:cs="Times New Roman"/>
          <w:sz w:val="20"/>
        </w:rPr>
        <w:t>Maxim Capital Ltd</w:t>
      </w:r>
      <w:r w:rsidR="00FE5687">
        <w:rPr>
          <w:rFonts w:ascii="Times New Roman" w:hAnsi="Times New Roman" w:cs="Times New Roman"/>
          <w:sz w:val="20"/>
        </w:rPr>
        <w:t xml:space="preserve"> (“MCL”)</w:t>
      </w:r>
      <w:r>
        <w:rPr>
          <w:rFonts w:ascii="Times New Roman" w:hAnsi="Times New Roman" w:cs="Times New Roman"/>
          <w:sz w:val="20"/>
        </w:rPr>
        <w:t xml:space="preserve">, a </w:t>
      </w:r>
      <w:r w:rsidR="00BB3E05">
        <w:rPr>
          <w:rFonts w:ascii="Times New Roman" w:hAnsi="Times New Roman" w:cs="Times New Roman"/>
          <w:sz w:val="20"/>
        </w:rPr>
        <w:t>limited liability company (“Adviser”), agrees to manage investments for ________</w:t>
      </w:r>
      <w:r w:rsidR="00C11A46">
        <w:rPr>
          <w:rFonts w:ascii="Times New Roman" w:hAnsi="Times New Roman" w:cs="Times New Roman"/>
          <w:sz w:val="20"/>
        </w:rPr>
        <w:t>___________________________________________</w:t>
      </w:r>
      <w:r w:rsidR="00345C2D">
        <w:rPr>
          <w:rFonts w:ascii="Times New Roman" w:hAnsi="Times New Roman" w:cs="Times New Roman"/>
          <w:sz w:val="20"/>
        </w:rPr>
        <w:t>(“Client”)</w:t>
      </w:r>
      <w:r w:rsidR="00BB3E05">
        <w:rPr>
          <w:rFonts w:ascii="Times New Roman" w:hAnsi="Times New Roman" w:cs="Times New Roman"/>
          <w:sz w:val="20"/>
        </w:rPr>
        <w:t>,on the following terms:</w:t>
      </w:r>
    </w:p>
    <w:p w:rsidR="000469DE" w:rsidRDefault="000469DE"/>
    <w:p w:rsidR="000469DE" w:rsidRDefault="000469DE"/>
    <w:p w:rsidR="000469DE" w:rsidRDefault="000469DE"/>
    <w:p w:rsidR="000469DE" w:rsidRDefault="000469DE"/>
    <w:p w:rsidR="000469DE" w:rsidRDefault="000469DE"/>
    <w:p w:rsidR="000469DE" w:rsidRPr="00F51F33" w:rsidRDefault="00BB3E05">
      <w:pPr>
        <w:jc w:val="center"/>
        <w:rPr>
          <w:sz w:val="20"/>
          <w:szCs w:val="20"/>
        </w:rPr>
      </w:pPr>
      <w:r w:rsidRPr="00F51F33">
        <w:rPr>
          <w:rFonts w:ascii="Times New Roman" w:hAnsi="Times New Roman" w:cs="Times New Roman"/>
          <w:b/>
          <w:sz w:val="20"/>
          <w:szCs w:val="20"/>
        </w:rPr>
        <w:t>SCHEDULE ONE</w:t>
      </w:r>
    </w:p>
    <w:p w:rsidR="000469DE" w:rsidRDefault="00BB3E05">
      <w:pPr>
        <w:jc w:val="center"/>
      </w:pPr>
      <w:r>
        <w:rPr>
          <w:rFonts w:ascii="Times New Roman" w:hAnsi="Times New Roman" w:cs="Times New Roman"/>
          <w:i/>
          <w:sz w:val="20"/>
        </w:rPr>
        <w:t>(Packages Introduced by the Introductory Broker)</w:t>
      </w:r>
    </w:p>
    <w:p w:rsidR="000469DE" w:rsidRDefault="000469DE">
      <w:pPr>
        <w:jc w:val="center"/>
      </w:pPr>
    </w:p>
    <w:p w:rsidR="000469DE" w:rsidRDefault="000469DE" w:rsidP="00307599">
      <w:pPr>
        <w:jc w:val="center"/>
      </w:pPr>
    </w:p>
    <w:p w:rsidR="000469DE" w:rsidRDefault="000469DE" w:rsidP="00307599">
      <w:pPr>
        <w:jc w:val="center"/>
      </w:pPr>
    </w:p>
    <w:tbl>
      <w:tblPr>
        <w:tblW w:w="8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39"/>
        <w:gridCol w:w="1328"/>
        <w:gridCol w:w="1333"/>
        <w:gridCol w:w="1350"/>
        <w:gridCol w:w="1440"/>
        <w:gridCol w:w="1546"/>
      </w:tblGrid>
      <w:tr w:rsidR="00395721" w:rsidRPr="004549F6" w:rsidTr="004549F6">
        <w:trPr>
          <w:trHeight w:val="377"/>
        </w:trPr>
        <w:tc>
          <w:tcPr>
            <w:tcW w:w="1818"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ITEM</w:t>
            </w:r>
          </w:p>
        </w:tc>
        <w:tc>
          <w:tcPr>
            <w:tcW w:w="1367" w:type="dxa"/>
            <w:gridSpan w:val="2"/>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Basic</w:t>
            </w:r>
          </w:p>
        </w:tc>
        <w:tc>
          <w:tcPr>
            <w:tcW w:w="1333"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Gold</w:t>
            </w:r>
          </w:p>
        </w:tc>
        <w:tc>
          <w:tcPr>
            <w:tcW w:w="1350"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Platinum</w:t>
            </w:r>
          </w:p>
        </w:tc>
        <w:tc>
          <w:tcPr>
            <w:tcW w:w="1440"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VIP</w:t>
            </w:r>
          </w:p>
        </w:tc>
        <w:tc>
          <w:tcPr>
            <w:tcW w:w="1546" w:type="dxa"/>
          </w:tcPr>
          <w:p w:rsidR="00395721" w:rsidRPr="004549F6" w:rsidRDefault="00395721" w:rsidP="00307599">
            <w:pPr>
              <w:pStyle w:val="TableContents"/>
              <w:jc w:val="center"/>
              <w:rPr>
                <w:b/>
                <w:bCs/>
                <w:i/>
                <w:iCs/>
                <w:sz w:val="20"/>
                <w:szCs w:val="20"/>
              </w:rPr>
            </w:pPr>
            <w:r w:rsidRPr="004549F6">
              <w:rPr>
                <w:b/>
                <w:bCs/>
                <w:i/>
                <w:iCs/>
                <w:sz w:val="20"/>
                <w:szCs w:val="20"/>
              </w:rPr>
              <w:t>PACKAGE VVIP</w:t>
            </w:r>
          </w:p>
        </w:tc>
      </w:tr>
      <w:tr w:rsidR="00395721" w:rsidRPr="004549F6" w:rsidTr="004549F6">
        <w:trPr>
          <w:trHeight w:val="356"/>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Lock-in Term</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546" w:type="dxa"/>
          </w:tcPr>
          <w:p w:rsidR="00395721" w:rsidRPr="004549F6" w:rsidRDefault="00395721" w:rsidP="00307599">
            <w:pPr>
              <w:pStyle w:val="TableContents"/>
              <w:jc w:val="center"/>
              <w:rPr>
                <w:sz w:val="20"/>
                <w:szCs w:val="20"/>
              </w:rPr>
            </w:pPr>
            <w:r w:rsidRPr="004549F6">
              <w:rPr>
                <w:sz w:val="20"/>
                <w:szCs w:val="20"/>
              </w:rPr>
              <w:t>18 Months</w:t>
            </w:r>
          </w:p>
        </w:tc>
      </w:tr>
      <w:tr w:rsidR="00395721" w:rsidRPr="004549F6" w:rsidTr="004549F6">
        <w:trPr>
          <w:trHeight w:val="477"/>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Lock-in Amount from Capital</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546" w:type="dxa"/>
          </w:tcPr>
          <w:p w:rsidR="00395721" w:rsidRPr="004549F6" w:rsidRDefault="00395721" w:rsidP="00307599">
            <w:pPr>
              <w:pStyle w:val="TableContents"/>
              <w:jc w:val="center"/>
              <w:rPr>
                <w:sz w:val="20"/>
                <w:szCs w:val="20"/>
              </w:rPr>
            </w:pPr>
            <w:r w:rsidRPr="004549F6">
              <w:rPr>
                <w:sz w:val="20"/>
                <w:szCs w:val="20"/>
              </w:rPr>
              <w:t>100%</w:t>
            </w:r>
          </w:p>
        </w:tc>
      </w:tr>
      <w:tr w:rsidR="00395721" w:rsidRPr="004549F6" w:rsidTr="004549F6">
        <w:trPr>
          <w:trHeight w:val="247"/>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Capital Shortfall Refund</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546" w:type="dxa"/>
          </w:tcPr>
          <w:p w:rsidR="00395721" w:rsidRPr="004549F6" w:rsidRDefault="00395721" w:rsidP="00307599">
            <w:pPr>
              <w:pStyle w:val="TableContents"/>
              <w:jc w:val="center"/>
              <w:rPr>
                <w:sz w:val="20"/>
                <w:szCs w:val="20"/>
              </w:rPr>
            </w:pPr>
            <w:r w:rsidRPr="004549F6">
              <w:rPr>
                <w:sz w:val="20"/>
                <w:szCs w:val="20"/>
              </w:rPr>
              <w:t>Yes</w:t>
            </w:r>
          </w:p>
        </w:tc>
      </w:tr>
      <w:tr w:rsidR="00395721" w:rsidRPr="004549F6" w:rsidTr="004549F6">
        <w:trPr>
          <w:trHeight w:val="231"/>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Deposit Amount</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USD1,000</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USD5,000</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USD10,000</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USD20,000</w:t>
            </w:r>
          </w:p>
        </w:tc>
        <w:tc>
          <w:tcPr>
            <w:tcW w:w="1546" w:type="dxa"/>
          </w:tcPr>
          <w:p w:rsidR="00395721" w:rsidRPr="004549F6" w:rsidRDefault="00395721" w:rsidP="00307599">
            <w:pPr>
              <w:pStyle w:val="TableContents"/>
              <w:jc w:val="center"/>
              <w:rPr>
                <w:sz w:val="20"/>
                <w:szCs w:val="20"/>
              </w:rPr>
            </w:pPr>
            <w:r w:rsidRPr="004549F6">
              <w:rPr>
                <w:sz w:val="20"/>
                <w:szCs w:val="20"/>
              </w:rPr>
              <w:t>USD30,000 – USD100,000</w:t>
            </w:r>
          </w:p>
        </w:tc>
      </w:tr>
      <w:tr w:rsidR="00395721" w:rsidRPr="004549F6" w:rsidTr="004549F6">
        <w:trPr>
          <w:trHeight w:val="231"/>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Performance Return Up To</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3 %</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5%</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6%</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7%</w:t>
            </w:r>
          </w:p>
        </w:tc>
        <w:tc>
          <w:tcPr>
            <w:tcW w:w="1546" w:type="dxa"/>
          </w:tcPr>
          <w:p w:rsidR="00395721" w:rsidRPr="004549F6" w:rsidRDefault="00395721" w:rsidP="00307599">
            <w:pPr>
              <w:pStyle w:val="TableContents"/>
              <w:jc w:val="center"/>
              <w:rPr>
                <w:sz w:val="20"/>
                <w:szCs w:val="20"/>
              </w:rPr>
            </w:pPr>
            <w:r w:rsidRPr="004549F6">
              <w:rPr>
                <w:sz w:val="20"/>
                <w:szCs w:val="20"/>
              </w:rPr>
              <w:t>8%</w:t>
            </w:r>
          </w:p>
        </w:tc>
      </w:tr>
    </w:tbl>
    <w:p w:rsidR="000469DE" w:rsidRPr="004549F6" w:rsidRDefault="000469DE" w:rsidP="00307599">
      <w:pPr>
        <w:jc w:val="center"/>
        <w:rPr>
          <w:sz w:val="20"/>
          <w:szCs w:val="20"/>
        </w:rPr>
      </w:pPr>
    </w:p>
    <w:p w:rsidR="000469DE" w:rsidRDefault="000469DE">
      <w:pPr>
        <w:jc w:val="center"/>
      </w:pPr>
    </w:p>
    <w:p w:rsidR="000469DE" w:rsidRDefault="000469DE">
      <w:pPr>
        <w:jc w:val="center"/>
      </w:pPr>
    </w:p>
    <w:p w:rsidR="00A84A5D" w:rsidRDefault="00A84A5D">
      <w:pPr>
        <w:jc w:val="center"/>
      </w:pPr>
    </w:p>
    <w:p w:rsidR="00A84A5D" w:rsidRDefault="00A84A5D">
      <w:pPr>
        <w:jc w:val="center"/>
      </w:pPr>
    </w:p>
    <w:p w:rsidR="00A84A5D" w:rsidRDefault="00A84A5D">
      <w:pPr>
        <w:jc w:val="center"/>
      </w:pPr>
    </w:p>
    <w:p w:rsidR="00A84A5D" w:rsidRDefault="00A84A5D">
      <w:pPr>
        <w:jc w:val="center"/>
      </w:pPr>
    </w:p>
    <w:p w:rsidR="000469DE" w:rsidRDefault="000469DE">
      <w:pPr>
        <w:jc w:val="center"/>
      </w:pPr>
    </w:p>
    <w:p w:rsidR="00A84A5D" w:rsidRDefault="00A84A5D"/>
    <w:p w:rsidR="00A84A5D" w:rsidRDefault="00A84A5D"/>
    <w:p w:rsidR="00A84A5D" w:rsidRDefault="00A84A5D"/>
    <w:p w:rsidR="000469DE" w:rsidRDefault="000469DE"/>
    <w:p w:rsidR="000469DE" w:rsidRDefault="000469DE"/>
    <w:p w:rsidR="000469DE" w:rsidRDefault="000469DE">
      <w:pPr>
        <w:jc w:val="center"/>
      </w:pPr>
    </w:p>
    <w:p w:rsidR="000469DE" w:rsidRDefault="000469DE">
      <w:pPr>
        <w:jc w:val="center"/>
      </w:pPr>
    </w:p>
    <w:p w:rsidR="000469DE" w:rsidRDefault="000469DE">
      <w:pPr>
        <w:jc w:val="center"/>
      </w:pPr>
    </w:p>
    <w:p w:rsidR="000469DE" w:rsidRDefault="000469DE">
      <w:pPr>
        <w:jc w:val="center"/>
      </w:pPr>
    </w:p>
    <w:p w:rsidR="000469DE" w:rsidRDefault="000469DE">
      <w:pPr>
        <w:jc w:val="center"/>
      </w:pPr>
    </w:p>
    <w:p w:rsidR="000469DE" w:rsidRDefault="000469DE">
      <w:pPr>
        <w:jc w:val="center"/>
      </w:pPr>
    </w:p>
    <w:p w:rsidR="000469DE" w:rsidRDefault="000469DE"/>
    <w:p w:rsidR="004549F6" w:rsidRDefault="004549F6"/>
    <w:p w:rsidR="004549F6" w:rsidRDefault="004549F6"/>
    <w:p w:rsidR="000469DE" w:rsidRPr="00F51F33" w:rsidRDefault="00BB3E05" w:rsidP="003D06DC">
      <w:pPr>
        <w:pBdr>
          <w:bottom w:val="single" w:sz="4" w:space="1" w:color="auto"/>
        </w:pBdr>
        <w:jc w:val="center"/>
        <w:rPr>
          <w:sz w:val="20"/>
          <w:szCs w:val="20"/>
        </w:rPr>
      </w:pPr>
      <w:r w:rsidRPr="00F51F33">
        <w:rPr>
          <w:rFonts w:ascii="Times New Roman" w:hAnsi="Times New Roman" w:cs="Times New Roman"/>
          <w:b/>
          <w:sz w:val="20"/>
          <w:szCs w:val="20"/>
        </w:rPr>
        <w:lastRenderedPageBreak/>
        <w:t>SCHEDULE TWO</w:t>
      </w:r>
    </w:p>
    <w:p w:rsidR="00FE5687" w:rsidRDefault="00FE5687" w:rsidP="00345C2D">
      <w:pPr>
        <w:spacing w:before="2" w:after="2"/>
        <w:jc w:val="both"/>
        <w:rPr>
          <w:rFonts w:ascii="Times" w:hAnsi="Times" w:cs="Times"/>
          <w:b/>
          <w:sz w:val="20"/>
        </w:rPr>
      </w:pPr>
    </w:p>
    <w:p w:rsidR="000469DE" w:rsidRDefault="00345C2D" w:rsidP="00345C2D">
      <w:pPr>
        <w:spacing w:before="2" w:after="2"/>
        <w:jc w:val="both"/>
      </w:pPr>
      <w:r>
        <w:rPr>
          <w:rFonts w:ascii="Times" w:hAnsi="Times" w:cs="Times"/>
          <w:b/>
          <w:sz w:val="20"/>
        </w:rPr>
        <w:t xml:space="preserve">1.  </w:t>
      </w:r>
      <w:r w:rsidR="00BB3E05">
        <w:rPr>
          <w:rFonts w:ascii="Times" w:hAnsi="Times" w:cs="Times"/>
          <w:b/>
          <w:sz w:val="20"/>
        </w:rPr>
        <w:t>Appointment of Services</w:t>
      </w:r>
    </w:p>
    <w:p w:rsidR="000469DE" w:rsidRDefault="00BB3E05" w:rsidP="00345C2D">
      <w:pPr>
        <w:spacing w:before="2" w:after="2"/>
        <w:jc w:val="both"/>
      </w:pPr>
      <w:r>
        <w:rPr>
          <w:rFonts w:ascii="Times New Roman" w:hAnsi="Times New Roman" w:cs="Times New Roman"/>
          <w:sz w:val="20"/>
        </w:rPr>
        <w:t>You appoint the Adviser to manage an investment portfolio for you effective upon signing this agreement. For this purpose, you are opening with the Adviser a discretionary advisory account ID: ______________</w:t>
      </w:r>
      <w:r w:rsidR="00307599">
        <w:rPr>
          <w:rFonts w:ascii="Times New Roman" w:hAnsi="Times New Roman" w:cs="Times New Roman"/>
          <w:sz w:val="20"/>
        </w:rPr>
        <w:t xml:space="preserve"> with</w:t>
      </w:r>
      <w:r w:rsidR="008764B4">
        <w:rPr>
          <w:rFonts w:ascii="Times New Roman" w:hAnsi="Times New Roman" w:cs="Times New Roman"/>
          <w:sz w:val="20"/>
        </w:rPr>
        <w:t xml:space="preserve"> an</w:t>
      </w:r>
      <w:r w:rsidR="00307599">
        <w:rPr>
          <w:rFonts w:ascii="Times New Roman" w:hAnsi="Times New Roman" w:cs="Times New Roman"/>
          <w:sz w:val="20"/>
        </w:rPr>
        <w:t xml:space="preserve"> initial fund of US$_____________.</w:t>
      </w:r>
    </w:p>
    <w:p w:rsidR="000469DE" w:rsidRDefault="000469DE">
      <w:pPr>
        <w:spacing w:before="2" w:after="2"/>
        <w:ind w:left="720"/>
        <w:jc w:val="both"/>
      </w:pPr>
    </w:p>
    <w:p w:rsidR="000469DE" w:rsidRDefault="00BB3E05">
      <w:pPr>
        <w:spacing w:before="2" w:after="2"/>
        <w:jc w:val="both"/>
      </w:pPr>
      <w:r>
        <w:rPr>
          <w:rFonts w:ascii="Times" w:hAnsi="Times" w:cs="Times"/>
          <w:b/>
          <w:sz w:val="20"/>
        </w:rPr>
        <w:t>2.  Services Offered</w:t>
      </w:r>
    </w:p>
    <w:p w:rsidR="000469DE" w:rsidRDefault="00BB3E05" w:rsidP="00345C2D">
      <w:pPr>
        <w:spacing w:before="2" w:after="2"/>
        <w:jc w:val="both"/>
      </w:pPr>
      <w:r>
        <w:rPr>
          <w:rFonts w:ascii="Times New Roman" w:hAnsi="Times New Roman" w:cs="Times New Roman"/>
          <w:sz w:val="20"/>
        </w:rPr>
        <w:t xml:space="preserve">The Adviser will make all decisions to buy, sell or hold securities, cash or other investments for your account </w:t>
      </w:r>
      <w:r w:rsidR="008764B4">
        <w:rPr>
          <w:rFonts w:ascii="Times New Roman" w:hAnsi="Times New Roman" w:cs="Times New Roman"/>
          <w:sz w:val="20"/>
        </w:rPr>
        <w:t>at</w:t>
      </w:r>
      <w:r>
        <w:rPr>
          <w:rFonts w:ascii="Times New Roman" w:hAnsi="Times New Roman" w:cs="Times New Roman"/>
          <w:sz w:val="20"/>
        </w:rPr>
        <w:t xml:space="preserve"> their sole discretion and without </w:t>
      </w:r>
      <w:r w:rsidR="008764B4">
        <w:rPr>
          <w:rFonts w:ascii="Times New Roman" w:hAnsi="Times New Roman" w:cs="Times New Roman"/>
          <w:sz w:val="20"/>
        </w:rPr>
        <w:t xml:space="preserve">the need to </w:t>
      </w:r>
      <w:r>
        <w:rPr>
          <w:rFonts w:ascii="Times New Roman" w:hAnsi="Times New Roman" w:cs="Times New Roman"/>
          <w:sz w:val="20"/>
        </w:rPr>
        <w:t>consult</w:t>
      </w:r>
      <w:r w:rsidR="008764B4">
        <w:rPr>
          <w:rFonts w:ascii="Times New Roman" w:hAnsi="Times New Roman" w:cs="Times New Roman"/>
          <w:sz w:val="20"/>
        </w:rPr>
        <w:t xml:space="preserve"> you first</w:t>
      </w:r>
      <w:r>
        <w:rPr>
          <w:rFonts w:ascii="Times New Roman" w:hAnsi="Times New Roman" w:cs="Times New Roman"/>
          <w:sz w:val="20"/>
        </w:rPr>
        <w:t>. Such securities may include, but are not limited to, currency exchange, commodities, precious metals</w:t>
      </w:r>
      <w:r w:rsidR="008764B4">
        <w:rPr>
          <w:rFonts w:ascii="Times New Roman" w:hAnsi="Times New Roman" w:cs="Times New Roman"/>
          <w:sz w:val="20"/>
        </w:rPr>
        <w:t xml:space="preserve"> and</w:t>
      </w:r>
      <w:r>
        <w:rPr>
          <w:rFonts w:ascii="Times New Roman" w:hAnsi="Times New Roman" w:cs="Times New Roman"/>
          <w:sz w:val="20"/>
        </w:rPr>
        <w:t xml:space="preserve"> stocks. You give the Adviser full power and authority to carry out these decisions by giving instructions, on your behalf, to brokers and dealers and the Custodian for your account. You also authorize the Adviser to provide a copy of this agreement to any broker or dealer with or through which transactions for your account are to be effected as evidence of their authority under this agreement.</w:t>
      </w:r>
    </w:p>
    <w:p w:rsidR="000469DE" w:rsidRDefault="000469DE">
      <w:pPr>
        <w:spacing w:before="2" w:after="2"/>
        <w:ind w:left="720"/>
        <w:jc w:val="both"/>
      </w:pPr>
    </w:p>
    <w:p w:rsidR="000469DE" w:rsidRDefault="00BB3E05">
      <w:pPr>
        <w:spacing w:before="2" w:after="2"/>
        <w:jc w:val="both"/>
      </w:pPr>
      <w:r>
        <w:rPr>
          <w:rFonts w:ascii="Times" w:hAnsi="Times" w:cs="Times"/>
          <w:b/>
          <w:sz w:val="20"/>
        </w:rPr>
        <w:t>3.  Client's Responsibilities</w:t>
      </w:r>
    </w:p>
    <w:p w:rsidR="000469DE" w:rsidRDefault="00BB3E05" w:rsidP="00FE5687">
      <w:pPr>
        <w:spacing w:before="2" w:after="2"/>
        <w:jc w:val="both"/>
      </w:pPr>
      <w:r>
        <w:rPr>
          <w:rFonts w:ascii="Times New Roman" w:hAnsi="Times New Roman" w:cs="Times New Roman"/>
          <w:sz w:val="20"/>
        </w:rPr>
        <w:t xml:space="preserve">Client recognizes that the value and usefulness of the advisory services of the Adviser will be dependent upon information that he/she provides and upon his/her active participation in the formulation of investment objectives. </w:t>
      </w:r>
      <w:r w:rsidR="008764B4">
        <w:rPr>
          <w:rFonts w:ascii="Times New Roman" w:hAnsi="Times New Roman" w:cs="Times New Roman"/>
          <w:sz w:val="20"/>
        </w:rPr>
        <w:t xml:space="preserve">The </w:t>
      </w:r>
      <w:r>
        <w:rPr>
          <w:rFonts w:ascii="Times New Roman" w:hAnsi="Times New Roman" w:cs="Times New Roman"/>
          <w:sz w:val="20"/>
        </w:rPr>
        <w:t xml:space="preserve">Client shall advise </w:t>
      </w:r>
      <w:r w:rsidR="008764B4">
        <w:rPr>
          <w:rFonts w:ascii="Times New Roman" w:hAnsi="Times New Roman" w:cs="Times New Roman"/>
          <w:sz w:val="20"/>
        </w:rPr>
        <w:t xml:space="preserve">the </w:t>
      </w:r>
      <w:r>
        <w:rPr>
          <w:rFonts w:ascii="Times New Roman" w:hAnsi="Times New Roman" w:cs="Times New Roman"/>
          <w:sz w:val="20"/>
        </w:rPr>
        <w:t xml:space="preserve">Adviser if </w:t>
      </w:r>
      <w:r w:rsidR="008764B4">
        <w:rPr>
          <w:rFonts w:ascii="Times New Roman" w:hAnsi="Times New Roman" w:cs="Times New Roman"/>
          <w:sz w:val="20"/>
        </w:rPr>
        <w:t xml:space="preserve">the </w:t>
      </w:r>
      <w:r>
        <w:rPr>
          <w:rFonts w:ascii="Times New Roman" w:hAnsi="Times New Roman" w:cs="Times New Roman"/>
          <w:sz w:val="20"/>
        </w:rPr>
        <w:t>Client’s financial condition or objectives change at any time.</w:t>
      </w:r>
    </w:p>
    <w:p w:rsidR="00FE5687" w:rsidRDefault="00FE5687" w:rsidP="00FE5687">
      <w:pPr>
        <w:spacing w:before="2" w:after="2"/>
        <w:jc w:val="both"/>
      </w:pPr>
    </w:p>
    <w:p w:rsidR="000469DE" w:rsidRDefault="00BB3E05">
      <w:pPr>
        <w:spacing w:before="2" w:after="2"/>
        <w:jc w:val="both"/>
      </w:pPr>
      <w:r>
        <w:rPr>
          <w:rFonts w:ascii="Times New Roman" w:hAnsi="Times New Roman" w:cs="Times New Roman"/>
          <w:b/>
          <w:sz w:val="20"/>
        </w:rPr>
        <w:t>4. Performance and Terms of Trading</w:t>
      </w:r>
    </w:p>
    <w:p w:rsidR="000469DE" w:rsidRDefault="00BB3E05" w:rsidP="00345C2D">
      <w:pPr>
        <w:spacing w:before="2" w:after="2"/>
        <w:jc w:val="both"/>
      </w:pPr>
      <w:r>
        <w:rPr>
          <w:rFonts w:ascii="Times New Roman" w:hAnsi="Times New Roman" w:cs="Times New Roman"/>
          <w:sz w:val="20"/>
        </w:rPr>
        <w:t xml:space="preserve">Client agrees to </w:t>
      </w:r>
      <w:r w:rsidR="008764B4">
        <w:rPr>
          <w:rFonts w:ascii="Times New Roman" w:hAnsi="Times New Roman" w:cs="Times New Roman"/>
          <w:sz w:val="20"/>
        </w:rPr>
        <w:t xml:space="preserve">place </w:t>
      </w:r>
      <w:r>
        <w:rPr>
          <w:rFonts w:ascii="Times New Roman" w:hAnsi="Times New Roman" w:cs="Times New Roman"/>
          <w:sz w:val="20"/>
        </w:rPr>
        <w:t>fund</w:t>
      </w:r>
      <w:r w:rsidR="008764B4">
        <w:rPr>
          <w:rFonts w:ascii="Times New Roman" w:hAnsi="Times New Roman" w:cs="Times New Roman"/>
          <w:sz w:val="20"/>
        </w:rPr>
        <w:t>s</w:t>
      </w:r>
      <w:r>
        <w:rPr>
          <w:rFonts w:ascii="Times New Roman" w:hAnsi="Times New Roman" w:cs="Times New Roman"/>
          <w:sz w:val="20"/>
        </w:rPr>
        <w:t xml:space="preserve"> in United States Dollars</w:t>
      </w:r>
      <w:r w:rsidR="008764B4">
        <w:rPr>
          <w:rFonts w:ascii="Times New Roman" w:hAnsi="Times New Roman" w:cs="Times New Roman"/>
          <w:sz w:val="20"/>
        </w:rPr>
        <w:t>,</w:t>
      </w:r>
      <w:r>
        <w:rPr>
          <w:rFonts w:ascii="Times New Roman" w:hAnsi="Times New Roman" w:cs="Times New Roman"/>
          <w:sz w:val="20"/>
        </w:rPr>
        <w:t xml:space="preserve"> </w:t>
      </w:r>
      <w:r w:rsidR="008764B4">
        <w:rPr>
          <w:rFonts w:ascii="Times New Roman" w:hAnsi="Times New Roman" w:cs="Times New Roman"/>
          <w:sz w:val="20"/>
        </w:rPr>
        <w:t>in the</w:t>
      </w:r>
      <w:r>
        <w:rPr>
          <w:rFonts w:ascii="Times New Roman" w:hAnsi="Times New Roman" w:cs="Times New Roman"/>
          <w:sz w:val="20"/>
        </w:rPr>
        <w:t xml:space="preserve"> </w:t>
      </w:r>
      <w:r w:rsidR="008764B4">
        <w:rPr>
          <w:rFonts w:ascii="Times New Roman" w:hAnsi="Times New Roman" w:cs="Times New Roman"/>
          <w:sz w:val="20"/>
        </w:rPr>
        <w:t xml:space="preserve">Basic </w:t>
      </w:r>
      <w:r w:rsidR="00307599">
        <w:rPr>
          <w:rFonts w:ascii="Times New Roman" w:hAnsi="Times New Roman" w:cs="Times New Roman"/>
          <w:sz w:val="20"/>
        </w:rPr>
        <w:t>Package</w:t>
      </w:r>
      <w:r>
        <w:rPr>
          <w:rFonts w:ascii="Times New Roman" w:hAnsi="Times New Roman" w:cs="Times New Roman"/>
          <w:sz w:val="20"/>
        </w:rPr>
        <w:t xml:space="preserve">, </w:t>
      </w:r>
      <w:r w:rsidR="008764B4">
        <w:rPr>
          <w:rFonts w:ascii="Times New Roman" w:hAnsi="Times New Roman" w:cs="Times New Roman"/>
          <w:sz w:val="20"/>
        </w:rPr>
        <w:t xml:space="preserve">Gold </w:t>
      </w:r>
      <w:r>
        <w:rPr>
          <w:rFonts w:ascii="Times New Roman" w:hAnsi="Times New Roman" w:cs="Times New Roman"/>
          <w:sz w:val="20"/>
        </w:rPr>
        <w:t xml:space="preserve">Package, </w:t>
      </w:r>
      <w:r w:rsidR="008764B4">
        <w:rPr>
          <w:rFonts w:ascii="Times New Roman" w:hAnsi="Times New Roman" w:cs="Times New Roman"/>
          <w:sz w:val="20"/>
        </w:rPr>
        <w:t xml:space="preserve">Platinum </w:t>
      </w:r>
      <w:r>
        <w:rPr>
          <w:rFonts w:ascii="Times New Roman" w:hAnsi="Times New Roman" w:cs="Times New Roman"/>
          <w:sz w:val="20"/>
        </w:rPr>
        <w:t xml:space="preserve">Package, </w:t>
      </w:r>
      <w:r w:rsidR="008764B4">
        <w:rPr>
          <w:rFonts w:ascii="Times New Roman" w:hAnsi="Times New Roman" w:cs="Times New Roman"/>
          <w:sz w:val="20"/>
        </w:rPr>
        <w:t xml:space="preserve">VIP </w:t>
      </w:r>
      <w:r>
        <w:rPr>
          <w:rFonts w:ascii="Times New Roman" w:hAnsi="Times New Roman" w:cs="Times New Roman"/>
          <w:sz w:val="20"/>
        </w:rPr>
        <w:t xml:space="preserve">Package or </w:t>
      </w:r>
      <w:r w:rsidR="008764B4">
        <w:rPr>
          <w:rFonts w:ascii="Times New Roman" w:hAnsi="Times New Roman" w:cs="Times New Roman"/>
          <w:sz w:val="20"/>
        </w:rPr>
        <w:t xml:space="preserve">VVIP </w:t>
      </w:r>
      <w:r w:rsidR="00CA20B3">
        <w:rPr>
          <w:rFonts w:ascii="Times New Roman" w:hAnsi="Times New Roman" w:cs="Times New Roman"/>
          <w:sz w:val="20"/>
        </w:rPr>
        <w:t>Package</w:t>
      </w:r>
      <w:r w:rsidR="008764B4">
        <w:rPr>
          <w:rFonts w:ascii="Times New Roman" w:hAnsi="Times New Roman" w:cs="Times New Roman"/>
          <w:sz w:val="20"/>
        </w:rPr>
        <w:t xml:space="preserve"> as </w:t>
      </w:r>
      <w:r>
        <w:rPr>
          <w:rFonts w:ascii="Times New Roman" w:hAnsi="Times New Roman" w:cs="Times New Roman"/>
          <w:sz w:val="20"/>
        </w:rPr>
        <w:t xml:space="preserve">in Schedule 1 for the Adviser to start trading. The funds and all future top-ups to the account will all be allocated to the “Balance” of </w:t>
      </w:r>
      <w:r w:rsidR="008764B4">
        <w:rPr>
          <w:rFonts w:ascii="Times New Roman" w:hAnsi="Times New Roman" w:cs="Times New Roman"/>
          <w:sz w:val="20"/>
        </w:rPr>
        <w:t xml:space="preserve">the </w:t>
      </w:r>
      <w:r>
        <w:rPr>
          <w:rFonts w:ascii="Times New Roman" w:hAnsi="Times New Roman" w:cs="Times New Roman"/>
          <w:sz w:val="20"/>
        </w:rPr>
        <w:t xml:space="preserve">Client’s account. All profits realized are debited into the “Balance” of the Client’s account and can only be withdrawn on the first working week of the month provided that the “Balance” in the Client’s account is more than the initial fund invested. </w:t>
      </w:r>
    </w:p>
    <w:p w:rsidR="000469DE" w:rsidRDefault="000469DE">
      <w:pPr>
        <w:spacing w:before="2" w:after="2"/>
        <w:jc w:val="both"/>
      </w:pPr>
    </w:p>
    <w:p w:rsidR="000469DE" w:rsidRDefault="00BB3E05">
      <w:pPr>
        <w:spacing w:before="2" w:after="2"/>
        <w:jc w:val="both"/>
      </w:pPr>
      <w:r>
        <w:rPr>
          <w:rFonts w:ascii="Times New Roman" w:hAnsi="Times New Roman" w:cs="Times New Roman"/>
          <w:b/>
          <w:sz w:val="20"/>
        </w:rPr>
        <w:t>5. Performance Returns</w:t>
      </w:r>
    </w:p>
    <w:p w:rsidR="000469DE" w:rsidRDefault="00BB3E05" w:rsidP="00345C2D">
      <w:pPr>
        <w:spacing w:before="2" w:after="2"/>
        <w:jc w:val="both"/>
      </w:pPr>
      <w:r>
        <w:rPr>
          <w:rFonts w:ascii="Times New Roman" w:hAnsi="Times New Roman" w:cs="Times New Roman"/>
          <w:sz w:val="20"/>
        </w:rPr>
        <w:t xml:space="preserve">The Performance Returns is measured based on the most up-to-date “Balance” of the Client’s account and the Performance Returns shall only be debited to the Client’s “Balance” on a monthly basis. The Performance Returns is paid based on the most up-to-date “Balance” up to a maximum amount of the initial fund invested only. Any amount more than the initial fund invested will not be taken into account. If the “Balance” is zero, there will be no Performance Return for the Client’s account. </w:t>
      </w:r>
    </w:p>
    <w:p w:rsidR="000469DE" w:rsidRDefault="000469DE">
      <w:pPr>
        <w:spacing w:before="2" w:after="2"/>
        <w:ind w:left="720"/>
        <w:jc w:val="both"/>
      </w:pPr>
    </w:p>
    <w:p w:rsidR="000469DE" w:rsidRDefault="00BB3E05">
      <w:pPr>
        <w:spacing w:before="2" w:after="2"/>
        <w:jc w:val="both"/>
      </w:pPr>
      <w:r>
        <w:rPr>
          <w:rFonts w:ascii="Times" w:hAnsi="Times" w:cs="Times"/>
          <w:b/>
          <w:sz w:val="20"/>
        </w:rPr>
        <w:t>6.  Payment of Performance Returns</w:t>
      </w:r>
    </w:p>
    <w:p w:rsidR="00A84A5D" w:rsidRDefault="00BB3E05" w:rsidP="00345C2D">
      <w:pPr>
        <w:spacing w:before="2" w:after="2"/>
        <w:jc w:val="both"/>
        <w:rPr>
          <w:rFonts w:ascii="Times" w:hAnsi="Times" w:cs="Times"/>
          <w:b/>
          <w:sz w:val="20"/>
        </w:rPr>
      </w:pPr>
      <w:r>
        <w:rPr>
          <w:rFonts w:ascii="Times" w:hAnsi="Times" w:cs="Times"/>
          <w:sz w:val="20"/>
        </w:rPr>
        <w:t xml:space="preserve">For clients who are entitled </w:t>
      </w:r>
      <w:r w:rsidR="008764B4">
        <w:rPr>
          <w:rFonts w:ascii="Times" w:hAnsi="Times" w:cs="Times"/>
          <w:sz w:val="20"/>
        </w:rPr>
        <w:t>to</w:t>
      </w:r>
      <w:r>
        <w:rPr>
          <w:rFonts w:ascii="Times" w:hAnsi="Times" w:cs="Times"/>
          <w:sz w:val="20"/>
        </w:rPr>
        <w:t xml:space="preserve"> the Performance Returns, the Performance Returns shall be debited every month into the "Balance" of the Client's Account based on the clients’ date of investment. </w:t>
      </w:r>
      <w:proofErr w:type="spellStart"/>
      <w:r w:rsidR="008764B4">
        <w:rPr>
          <w:rFonts w:ascii="Times" w:hAnsi="Times" w:cs="Times"/>
          <w:sz w:val="20"/>
        </w:rPr>
        <w:t>Eg</w:t>
      </w:r>
      <w:proofErr w:type="spellEnd"/>
      <w:r w:rsidR="008764B4">
        <w:rPr>
          <w:rFonts w:ascii="Times" w:hAnsi="Times" w:cs="Times"/>
          <w:sz w:val="20"/>
        </w:rPr>
        <w:t>.</w:t>
      </w:r>
      <w:r>
        <w:rPr>
          <w:rFonts w:ascii="Times" w:hAnsi="Times" w:cs="Times"/>
          <w:sz w:val="20"/>
        </w:rPr>
        <w:t xml:space="preserve">. If the Client joins </w:t>
      </w:r>
      <w:r w:rsidR="008764B4">
        <w:rPr>
          <w:rFonts w:ascii="Times" w:hAnsi="Times" w:cs="Times"/>
          <w:sz w:val="20"/>
        </w:rPr>
        <w:t>on</w:t>
      </w:r>
      <w:r>
        <w:rPr>
          <w:rFonts w:ascii="Times" w:hAnsi="Times" w:cs="Times"/>
          <w:sz w:val="20"/>
        </w:rPr>
        <w:t xml:space="preserve"> the 11th of July, with a capital of USD5,000, the </w:t>
      </w:r>
      <w:r>
        <w:rPr>
          <w:rFonts w:ascii="Times New Roman" w:hAnsi="Times New Roman" w:cs="Times New Roman"/>
          <w:sz w:val="20"/>
        </w:rPr>
        <w:t xml:space="preserve">Performance Returns of 5% will be measured based on the most-up-to-date balance </w:t>
      </w:r>
      <w:r>
        <w:rPr>
          <w:rFonts w:ascii="Times" w:hAnsi="Times" w:cs="Times"/>
          <w:sz w:val="20"/>
        </w:rPr>
        <w:t xml:space="preserve">on the 11th of the following month in August. The Performance Returns will be debited into the Clients' Account after 3 working days. If the Client joins during the 21st of November, with a capital of USD100,000, the </w:t>
      </w:r>
      <w:r>
        <w:rPr>
          <w:rFonts w:ascii="Times New Roman" w:hAnsi="Times New Roman" w:cs="Times New Roman"/>
          <w:sz w:val="20"/>
        </w:rPr>
        <w:t xml:space="preserve">Performance Returns of 8% will be measured based on the most-up-to-date balance </w:t>
      </w:r>
      <w:r>
        <w:rPr>
          <w:rFonts w:ascii="Times" w:hAnsi="Times" w:cs="Times"/>
          <w:sz w:val="20"/>
        </w:rPr>
        <w:t>on the 21st of the following month in December. The Performance Returns will be debited into the Clients' Account after 3 working days.</w:t>
      </w:r>
      <w:r>
        <w:rPr>
          <w:rFonts w:ascii="Times" w:hAnsi="Times" w:cs="Times"/>
          <w:b/>
          <w:sz w:val="20"/>
        </w:rPr>
        <w:tab/>
      </w:r>
    </w:p>
    <w:p w:rsidR="00347E78" w:rsidRDefault="00347E78" w:rsidP="00A84A5D">
      <w:pPr>
        <w:spacing w:before="2" w:after="2"/>
        <w:jc w:val="both"/>
        <w:rPr>
          <w:rFonts w:ascii="Times" w:hAnsi="Times" w:cs="Times"/>
          <w:b/>
          <w:sz w:val="20"/>
        </w:rPr>
      </w:pPr>
    </w:p>
    <w:p w:rsidR="00347E78" w:rsidRDefault="00A84A5D" w:rsidP="00345C2D">
      <w:pPr>
        <w:spacing w:before="2" w:after="2"/>
        <w:jc w:val="both"/>
        <w:rPr>
          <w:rFonts w:ascii="Times" w:hAnsi="Times" w:cs="Times"/>
          <w:b/>
          <w:sz w:val="20"/>
        </w:rPr>
      </w:pPr>
      <w:r w:rsidRPr="00FE5687">
        <w:rPr>
          <w:b/>
          <w:sz w:val="20"/>
          <w:szCs w:val="20"/>
        </w:rPr>
        <w:t>7.</w:t>
      </w:r>
      <w:r w:rsidR="00AE2A3C">
        <w:rPr>
          <w:b/>
          <w:sz w:val="20"/>
          <w:szCs w:val="20"/>
        </w:rPr>
        <w:t xml:space="preserve"> </w:t>
      </w:r>
      <w:r w:rsidR="00BB3E05">
        <w:rPr>
          <w:rFonts w:ascii="Times" w:hAnsi="Times" w:cs="Times"/>
          <w:b/>
          <w:sz w:val="20"/>
        </w:rPr>
        <w:t>Parental Guarantee</w:t>
      </w:r>
    </w:p>
    <w:p w:rsidR="000469DE" w:rsidRDefault="00A84A5D" w:rsidP="00345C2D">
      <w:pPr>
        <w:spacing w:before="2" w:after="2"/>
        <w:jc w:val="both"/>
        <w:rPr>
          <w:rFonts w:ascii="Times" w:hAnsi="Times" w:cs="Times"/>
          <w:sz w:val="20"/>
        </w:rPr>
      </w:pPr>
      <w:r>
        <w:rPr>
          <w:rFonts w:ascii="Times" w:hAnsi="Times" w:cs="Times"/>
          <w:sz w:val="20"/>
        </w:rPr>
        <w:t xml:space="preserve">Subject to the provisions hereof, the </w:t>
      </w:r>
      <w:r w:rsidR="00C64338">
        <w:rPr>
          <w:rFonts w:ascii="Times" w:hAnsi="Times" w:cs="Times"/>
          <w:sz w:val="20"/>
        </w:rPr>
        <w:t xml:space="preserve">Royale Group Holding </w:t>
      </w:r>
      <w:proofErr w:type="spellStart"/>
      <w:r w:rsidR="00C64338">
        <w:rPr>
          <w:rFonts w:ascii="Times" w:hAnsi="Times" w:cs="Times"/>
          <w:sz w:val="20"/>
        </w:rPr>
        <w:t>Inc</w:t>
      </w:r>
      <w:proofErr w:type="spellEnd"/>
      <w:r w:rsidR="008764B4">
        <w:rPr>
          <w:rFonts w:ascii="Times" w:hAnsi="Times" w:cs="Times"/>
          <w:sz w:val="20"/>
        </w:rPr>
        <w:t xml:space="preserve"> or </w:t>
      </w:r>
      <w:r w:rsidR="00BB3E05">
        <w:rPr>
          <w:rFonts w:ascii="Times" w:hAnsi="Times" w:cs="Times"/>
          <w:sz w:val="20"/>
        </w:rPr>
        <w:t>“</w:t>
      </w:r>
      <w:r>
        <w:rPr>
          <w:rFonts w:ascii="Times" w:hAnsi="Times" w:cs="Times"/>
          <w:sz w:val="20"/>
        </w:rPr>
        <w:t>Guarantor</w:t>
      </w:r>
      <w:r w:rsidR="00BB3E05">
        <w:rPr>
          <w:rFonts w:ascii="Times" w:hAnsi="Times" w:cs="Times"/>
          <w:sz w:val="20"/>
        </w:rPr>
        <w:t>”</w:t>
      </w:r>
      <w:r>
        <w:rPr>
          <w:rFonts w:ascii="Times" w:hAnsi="Times" w:cs="Times"/>
          <w:sz w:val="20"/>
        </w:rPr>
        <w:t xml:space="preserve"> agrees to compensate the “Client” </w:t>
      </w:r>
      <w:r w:rsidR="000C6526">
        <w:rPr>
          <w:rFonts w:ascii="Times" w:hAnsi="Times" w:cs="Times"/>
          <w:sz w:val="20"/>
        </w:rPr>
        <w:t xml:space="preserve">common stock of Royale Group Holding </w:t>
      </w:r>
      <w:proofErr w:type="spellStart"/>
      <w:r w:rsidR="000C6526">
        <w:rPr>
          <w:rFonts w:ascii="Times" w:hAnsi="Times" w:cs="Times"/>
          <w:sz w:val="20"/>
        </w:rPr>
        <w:t>Inc</w:t>
      </w:r>
      <w:proofErr w:type="spellEnd"/>
      <w:r w:rsidR="00BB3E05">
        <w:rPr>
          <w:rFonts w:ascii="Times" w:hAnsi="Times" w:cs="Times"/>
          <w:sz w:val="20"/>
        </w:rPr>
        <w:t>,</w:t>
      </w:r>
      <w:r w:rsidR="000C6526">
        <w:rPr>
          <w:rFonts w:ascii="Times" w:hAnsi="Times" w:cs="Times"/>
          <w:sz w:val="20"/>
        </w:rPr>
        <w:t xml:space="preserve"> equivalent in value of the “Client</w:t>
      </w:r>
      <w:r w:rsidR="00BB3E05">
        <w:rPr>
          <w:rFonts w:ascii="Times" w:hAnsi="Times" w:cs="Times"/>
          <w:sz w:val="20"/>
        </w:rPr>
        <w:t xml:space="preserve">” account </w:t>
      </w:r>
      <w:proofErr w:type="spellStart"/>
      <w:r w:rsidR="00BB3E05">
        <w:rPr>
          <w:rFonts w:ascii="Times" w:hAnsi="Times" w:cs="Times"/>
          <w:sz w:val="20"/>
        </w:rPr>
        <w:t>balances,under</w:t>
      </w:r>
      <w:proofErr w:type="spellEnd"/>
      <w:r w:rsidR="00BB3E05">
        <w:rPr>
          <w:rFonts w:ascii="Times" w:hAnsi="Times" w:cs="Times"/>
          <w:sz w:val="20"/>
        </w:rPr>
        <w:t xml:space="preserve"> the situation where the “Adviser” fails to complete the “Client’s” w</w:t>
      </w:r>
      <w:r w:rsidR="00A52249">
        <w:rPr>
          <w:rFonts w:ascii="Times" w:hAnsi="Times" w:cs="Times"/>
          <w:sz w:val="20"/>
        </w:rPr>
        <w:t>ithdrawal request in the unlikely insolvency of Maxim Capital Ltd.</w:t>
      </w:r>
    </w:p>
    <w:p w:rsidR="00A52249" w:rsidRPr="00347E78" w:rsidRDefault="00A52249" w:rsidP="00345C2D">
      <w:pPr>
        <w:spacing w:before="2" w:after="2"/>
        <w:jc w:val="both"/>
        <w:rPr>
          <w:rFonts w:ascii="Times" w:hAnsi="Times" w:cs="Times"/>
          <w:b/>
          <w:sz w:val="20"/>
        </w:rPr>
      </w:pPr>
    </w:p>
    <w:p w:rsidR="00C85CA2" w:rsidRDefault="00C85CA2">
      <w:pPr>
        <w:spacing w:before="2" w:after="2"/>
        <w:jc w:val="both"/>
        <w:rPr>
          <w:rFonts w:ascii="Times" w:hAnsi="Times" w:cs="Times"/>
          <w:b/>
          <w:sz w:val="20"/>
        </w:rPr>
      </w:pPr>
    </w:p>
    <w:p w:rsidR="00C85CA2" w:rsidRDefault="00C85CA2">
      <w:pPr>
        <w:spacing w:before="2" w:after="2"/>
        <w:jc w:val="both"/>
        <w:rPr>
          <w:rFonts w:ascii="Times" w:hAnsi="Times" w:cs="Times"/>
          <w:b/>
          <w:sz w:val="20"/>
        </w:rPr>
      </w:pPr>
    </w:p>
    <w:p w:rsidR="000469DE" w:rsidRDefault="00A84A5D">
      <w:pPr>
        <w:spacing w:before="2" w:after="2"/>
        <w:jc w:val="both"/>
      </w:pPr>
      <w:r>
        <w:rPr>
          <w:rFonts w:ascii="Times" w:hAnsi="Times" w:cs="Times"/>
          <w:b/>
          <w:sz w:val="20"/>
        </w:rPr>
        <w:lastRenderedPageBreak/>
        <w:t>8</w:t>
      </w:r>
      <w:r w:rsidR="00BB3E05">
        <w:rPr>
          <w:rFonts w:ascii="Times" w:hAnsi="Times" w:cs="Times"/>
          <w:b/>
          <w:sz w:val="20"/>
        </w:rPr>
        <w:t>. Time Period of this Agreement</w:t>
      </w:r>
    </w:p>
    <w:p w:rsidR="00AF1085" w:rsidRDefault="00BB3E05" w:rsidP="00345C2D">
      <w:pPr>
        <w:spacing w:before="2" w:after="2"/>
        <w:jc w:val="both"/>
        <w:rPr>
          <w:rFonts w:ascii="Times New Roman" w:hAnsi="Times New Roman" w:cs="Times New Roman"/>
          <w:sz w:val="20"/>
        </w:rPr>
      </w:pPr>
      <w:r>
        <w:rPr>
          <w:rFonts w:ascii="Times New Roman" w:hAnsi="Times New Roman" w:cs="Times New Roman"/>
          <w:sz w:val="20"/>
        </w:rPr>
        <w:t>The Client may only cancel this agreement after 18 (eighteen) months from the date of funding or this agreement, whichever comes last. Cancellation of this agreement will not affect (a) the validity of any action previously taken by us under this agreement, (b) liabilities or obligations of you or us from transactions initiated before termination of this agreement, or (c) your obligatio</w:t>
      </w:r>
      <w:r w:rsidR="000F51DD">
        <w:rPr>
          <w:rFonts w:ascii="Times New Roman" w:hAnsi="Times New Roman" w:cs="Times New Roman"/>
          <w:sz w:val="20"/>
        </w:rPr>
        <w:t>n to pay our advisory fees (pro-</w:t>
      </w:r>
      <w:r>
        <w:rPr>
          <w:rFonts w:ascii="Times New Roman" w:hAnsi="Times New Roman" w:cs="Times New Roman"/>
          <w:sz w:val="20"/>
        </w:rPr>
        <w:t>rated through the date of cancellation). On the cancellation of this agreement, we will have no obligation to recommend or take any action with regard to the securities, cash or other investments in your account. In the event that the Client wishes to terminate this agreement before the end of 18 months, all “Balance” in the Client’s account shall be forfeited. After 18 months, the Client may withdraw any amount left in the “Balance” account at any time that they desire.</w:t>
      </w:r>
      <w:r w:rsidR="00AF1085">
        <w:rPr>
          <w:rFonts w:ascii="Times New Roman" w:hAnsi="Times New Roman" w:cs="Times New Roman"/>
          <w:sz w:val="20"/>
        </w:rPr>
        <w:t xml:space="preserve"> </w:t>
      </w:r>
    </w:p>
    <w:p w:rsidR="005105D6" w:rsidRDefault="005105D6" w:rsidP="00345C2D">
      <w:pPr>
        <w:spacing w:before="2" w:after="2"/>
        <w:jc w:val="both"/>
        <w:rPr>
          <w:rFonts w:ascii="Times New Roman" w:hAnsi="Times New Roman" w:cs="Times New Roman"/>
          <w:sz w:val="20"/>
        </w:rPr>
      </w:pPr>
    </w:p>
    <w:p w:rsidR="005105D6" w:rsidRPr="00FF1D60" w:rsidRDefault="005105D6" w:rsidP="00345C2D">
      <w:pPr>
        <w:spacing w:before="2" w:after="2"/>
        <w:jc w:val="both"/>
        <w:rPr>
          <w:rFonts w:ascii="Times New Roman" w:hAnsi="Times New Roman" w:cs="Times New Roman"/>
          <w:b/>
          <w:sz w:val="20"/>
        </w:rPr>
      </w:pPr>
      <w:r w:rsidRPr="00FF1D60">
        <w:rPr>
          <w:rFonts w:ascii="Times New Roman" w:hAnsi="Times New Roman" w:cs="Times New Roman"/>
          <w:b/>
          <w:sz w:val="20"/>
        </w:rPr>
        <w:t>9. Contract Maturity</w:t>
      </w:r>
    </w:p>
    <w:p w:rsidR="000469DE" w:rsidRPr="00FF1D60" w:rsidRDefault="00A167BD" w:rsidP="00FF1D60">
      <w:pPr>
        <w:spacing w:after="200" w:line="276" w:lineRule="auto"/>
        <w:rPr>
          <w:sz w:val="28"/>
        </w:rPr>
      </w:pPr>
      <w:r>
        <w:rPr>
          <w:rFonts w:ascii="Times New Roman" w:hAnsi="Times New Roman" w:cs="Times New Roman"/>
          <w:sz w:val="20"/>
        </w:rPr>
        <w:t>T</w:t>
      </w:r>
      <w:r w:rsidR="00AF1085" w:rsidRPr="005105D6">
        <w:rPr>
          <w:rFonts w:ascii="Times New Roman" w:hAnsi="Times New Roman" w:cs="Times New Roman"/>
          <w:sz w:val="20"/>
        </w:rPr>
        <w:t xml:space="preserve">he Client </w:t>
      </w:r>
      <w:r w:rsidR="005105D6" w:rsidRPr="005105D6">
        <w:rPr>
          <w:rFonts w:ascii="Times New Roman" w:hAnsi="Times New Roman" w:cs="Times New Roman"/>
          <w:sz w:val="20"/>
        </w:rPr>
        <w:t xml:space="preserve">will receive a </w:t>
      </w:r>
      <w:r w:rsidR="005105D6" w:rsidRPr="00D05841">
        <w:rPr>
          <w:rFonts w:ascii="Times New Roman" w:hAnsi="Times New Roman" w:cs="Times New Roman"/>
          <w:b/>
          <w:sz w:val="20"/>
        </w:rPr>
        <w:t>Notification of Contract Maturity</w:t>
      </w:r>
      <w:r w:rsidR="00E708E0">
        <w:rPr>
          <w:rFonts w:ascii="Times New Roman" w:hAnsi="Times New Roman" w:cs="Times New Roman"/>
          <w:sz w:val="20"/>
        </w:rPr>
        <w:t xml:space="preserve"> </w:t>
      </w:r>
      <w:r>
        <w:rPr>
          <w:rFonts w:ascii="Times New Roman" w:hAnsi="Times New Roman" w:cs="Times New Roman"/>
          <w:sz w:val="20"/>
        </w:rPr>
        <w:t xml:space="preserve"> 3</w:t>
      </w:r>
      <w:r w:rsidRPr="005105D6">
        <w:rPr>
          <w:rFonts w:ascii="Times New Roman" w:hAnsi="Times New Roman" w:cs="Times New Roman"/>
          <w:sz w:val="20"/>
        </w:rPr>
        <w:t xml:space="preserve">0 days before </w:t>
      </w:r>
      <w:r>
        <w:rPr>
          <w:rFonts w:ascii="Times New Roman" w:hAnsi="Times New Roman" w:cs="Times New Roman"/>
          <w:sz w:val="20"/>
        </w:rPr>
        <w:t>completion</w:t>
      </w:r>
      <w:r w:rsidRPr="005105D6">
        <w:rPr>
          <w:rFonts w:ascii="Times New Roman" w:hAnsi="Times New Roman" w:cs="Times New Roman"/>
          <w:sz w:val="20"/>
        </w:rPr>
        <w:t xml:space="preserve"> of the t</w:t>
      </w:r>
      <w:r>
        <w:rPr>
          <w:rFonts w:ascii="Times New Roman" w:hAnsi="Times New Roman" w:cs="Times New Roman"/>
          <w:sz w:val="20"/>
        </w:rPr>
        <w:t xml:space="preserve">enure </w:t>
      </w:r>
      <w:r w:rsidRPr="005105D6">
        <w:rPr>
          <w:rFonts w:ascii="Times New Roman" w:hAnsi="Times New Roman" w:cs="Times New Roman"/>
          <w:sz w:val="20"/>
        </w:rPr>
        <w:t>of 18 (eighteen) months of th</w:t>
      </w:r>
      <w:r>
        <w:rPr>
          <w:rFonts w:ascii="Times New Roman" w:hAnsi="Times New Roman" w:cs="Times New Roman"/>
          <w:sz w:val="20"/>
        </w:rPr>
        <w:t>is agreement</w:t>
      </w:r>
      <w:r w:rsidR="005105D6" w:rsidRPr="005105D6">
        <w:rPr>
          <w:rFonts w:ascii="Times New Roman" w:hAnsi="Times New Roman" w:cs="Times New Roman"/>
          <w:sz w:val="20"/>
        </w:rPr>
        <w:t xml:space="preserve">. </w:t>
      </w:r>
      <w:r w:rsidR="005105D6" w:rsidRPr="005105D6">
        <w:rPr>
          <w:sz w:val="20"/>
          <w:szCs w:val="20"/>
        </w:rPr>
        <w:t xml:space="preserve">Client must acknowledge receipt of </w:t>
      </w:r>
      <w:r w:rsidR="00D05841">
        <w:rPr>
          <w:sz w:val="20"/>
          <w:szCs w:val="20"/>
        </w:rPr>
        <w:t xml:space="preserve">this </w:t>
      </w:r>
      <w:r w:rsidR="005105D6" w:rsidRPr="005105D6">
        <w:rPr>
          <w:sz w:val="20"/>
          <w:szCs w:val="20"/>
        </w:rPr>
        <w:t>notification and thereafter indicate whether they would like to renew their Contract for another 18 months or allow contract to mature without renewal and thereafter to withdraw all available balance</w:t>
      </w:r>
      <w:r w:rsidR="00D05841">
        <w:rPr>
          <w:sz w:val="20"/>
          <w:szCs w:val="20"/>
        </w:rPr>
        <w:t>s</w:t>
      </w:r>
      <w:r w:rsidR="005105D6" w:rsidRPr="005105D6">
        <w:rPr>
          <w:sz w:val="20"/>
          <w:szCs w:val="20"/>
        </w:rPr>
        <w:t xml:space="preserve"> </w:t>
      </w:r>
      <w:r w:rsidR="00D05841">
        <w:rPr>
          <w:sz w:val="20"/>
          <w:szCs w:val="20"/>
        </w:rPr>
        <w:t>(T</w:t>
      </w:r>
      <w:r w:rsidR="005105D6" w:rsidRPr="005105D6">
        <w:rPr>
          <w:sz w:val="20"/>
          <w:szCs w:val="20"/>
        </w:rPr>
        <w:t>hereby forfeiting all other bonuses and commissions</w:t>
      </w:r>
      <w:r w:rsidR="00D05841">
        <w:rPr>
          <w:sz w:val="20"/>
          <w:szCs w:val="20"/>
        </w:rPr>
        <w:t>).</w:t>
      </w:r>
      <w:r w:rsidR="005105D6" w:rsidRPr="005105D6">
        <w:rPr>
          <w:sz w:val="20"/>
          <w:szCs w:val="20"/>
        </w:rPr>
        <w:t xml:space="preserve"> </w:t>
      </w:r>
      <w:r w:rsidR="00FF1D60">
        <w:rPr>
          <w:sz w:val="20"/>
          <w:szCs w:val="20"/>
        </w:rPr>
        <w:t xml:space="preserve">In the event that no </w:t>
      </w:r>
      <w:r w:rsidR="005105D6" w:rsidRPr="005105D6">
        <w:rPr>
          <w:sz w:val="20"/>
          <w:szCs w:val="20"/>
        </w:rPr>
        <w:t xml:space="preserve">instructions are received from client, the company </w:t>
      </w:r>
      <w:r w:rsidR="00D05841">
        <w:rPr>
          <w:sz w:val="20"/>
          <w:szCs w:val="20"/>
        </w:rPr>
        <w:t>will</w:t>
      </w:r>
      <w:r w:rsidR="005105D6" w:rsidRPr="005105D6">
        <w:rPr>
          <w:sz w:val="20"/>
          <w:szCs w:val="20"/>
        </w:rPr>
        <w:t xml:space="preserve"> Automatically Renew existing contract for another 18 months</w:t>
      </w:r>
      <w:r w:rsidR="00FF1D60">
        <w:rPr>
          <w:sz w:val="20"/>
          <w:szCs w:val="20"/>
        </w:rPr>
        <w:t>.</w:t>
      </w:r>
      <w:r w:rsidR="005105D6" w:rsidRPr="005105D6">
        <w:rPr>
          <w:sz w:val="28"/>
        </w:rPr>
        <w:t xml:space="preserve">  </w:t>
      </w:r>
    </w:p>
    <w:p w:rsidR="000469DE" w:rsidRDefault="00FF1D60">
      <w:pPr>
        <w:spacing w:before="2" w:after="2"/>
        <w:jc w:val="both"/>
      </w:pPr>
      <w:r>
        <w:rPr>
          <w:rFonts w:ascii="Times" w:hAnsi="Times" w:cs="Times"/>
          <w:b/>
          <w:sz w:val="20"/>
        </w:rPr>
        <w:t>10</w:t>
      </w:r>
      <w:r w:rsidR="00BB3E05">
        <w:rPr>
          <w:rFonts w:ascii="Times" w:hAnsi="Times" w:cs="Times"/>
          <w:b/>
          <w:sz w:val="20"/>
        </w:rPr>
        <w:t>.  Capital Protection</w:t>
      </w:r>
    </w:p>
    <w:p w:rsidR="000469DE" w:rsidRDefault="00BB3E05" w:rsidP="00345C2D">
      <w:pPr>
        <w:spacing w:before="2" w:after="2"/>
        <w:jc w:val="both"/>
      </w:pPr>
      <w:r>
        <w:rPr>
          <w:rFonts w:ascii="Times" w:hAnsi="Times" w:cs="Times"/>
          <w:sz w:val="20"/>
        </w:rPr>
        <w:t>Upon completion of the time duration of 18 (eighteen) months of this agreement, the Client is given a Capital Protection on his/her initial capital investment. Should there be any losses made on the Client's initial capital investment within this 18 (eighteen) months period, the Advisor shall compensate to the Client the full initial capital invested. However, within the 18 months period of this agreement, the Client cannot manually trade or make any open orders in the Metatrader4 Platform that may in any way affect the investment results of the Advisor. If the Client has made any action that affects the investment results of the Advisor, there shall be no Capital Protection provided to the Client.</w:t>
      </w:r>
    </w:p>
    <w:p w:rsidR="000469DE" w:rsidRDefault="000469DE">
      <w:pPr>
        <w:spacing w:before="2" w:after="2"/>
        <w:jc w:val="both"/>
      </w:pPr>
    </w:p>
    <w:p w:rsidR="000469DE" w:rsidRDefault="00FF1D60">
      <w:pPr>
        <w:spacing w:before="2" w:after="2"/>
        <w:jc w:val="both"/>
      </w:pPr>
      <w:r>
        <w:rPr>
          <w:rFonts w:ascii="Times" w:hAnsi="Times" w:cs="Times"/>
          <w:b/>
          <w:sz w:val="20"/>
        </w:rPr>
        <w:t>11</w:t>
      </w:r>
      <w:r w:rsidR="00BB3E05">
        <w:rPr>
          <w:rFonts w:ascii="Times" w:hAnsi="Times" w:cs="Times"/>
          <w:b/>
          <w:sz w:val="20"/>
        </w:rPr>
        <w:t>.   Confidentiality</w:t>
      </w:r>
    </w:p>
    <w:p w:rsidR="000469DE" w:rsidRDefault="00BB3E05" w:rsidP="00345C2D">
      <w:pPr>
        <w:spacing w:before="2" w:after="2"/>
        <w:jc w:val="both"/>
      </w:pPr>
      <w:r>
        <w:rPr>
          <w:rFonts w:ascii="Times New Roman" w:hAnsi="Times New Roman" w:cs="Times New Roman"/>
          <w:sz w:val="20"/>
        </w:rPr>
        <w:t>Except as agree</w:t>
      </w:r>
      <w:r w:rsidR="000F51DD">
        <w:rPr>
          <w:rFonts w:ascii="Times New Roman" w:hAnsi="Times New Roman" w:cs="Times New Roman"/>
          <w:sz w:val="20"/>
        </w:rPr>
        <w:t xml:space="preserve">d by </w:t>
      </w:r>
      <w:r w:rsidR="00A44D62">
        <w:rPr>
          <w:rFonts w:ascii="Times New Roman" w:hAnsi="Times New Roman" w:cs="Times New Roman"/>
          <w:sz w:val="20"/>
        </w:rPr>
        <w:t>you – the “client”</w:t>
      </w:r>
      <w:r>
        <w:rPr>
          <w:rFonts w:ascii="Times New Roman" w:hAnsi="Times New Roman" w:cs="Times New Roman"/>
          <w:sz w:val="20"/>
        </w:rPr>
        <w:t xml:space="preserve"> or as required by law, the Adviser will keep confidential all information concerning your identity, financial affairs or investments.</w:t>
      </w:r>
    </w:p>
    <w:p w:rsidR="000469DE" w:rsidRDefault="000469DE">
      <w:pPr>
        <w:spacing w:before="2" w:after="2"/>
        <w:ind w:left="720"/>
        <w:jc w:val="both"/>
      </w:pPr>
    </w:p>
    <w:p w:rsidR="000469DE" w:rsidRDefault="00FF1D60">
      <w:pPr>
        <w:spacing w:before="2" w:after="2"/>
        <w:jc w:val="both"/>
      </w:pPr>
      <w:r>
        <w:rPr>
          <w:rFonts w:ascii="Times" w:hAnsi="Times" w:cs="Times"/>
          <w:b/>
          <w:sz w:val="20"/>
        </w:rPr>
        <w:t>12</w:t>
      </w:r>
      <w:r w:rsidR="00BB3E05">
        <w:rPr>
          <w:rFonts w:ascii="Times" w:hAnsi="Times" w:cs="Times"/>
          <w:b/>
          <w:sz w:val="20"/>
        </w:rPr>
        <w:t>.  Our Other Services</w:t>
      </w:r>
    </w:p>
    <w:p w:rsidR="000469DE" w:rsidRDefault="00BB3E05" w:rsidP="00345C2D">
      <w:pPr>
        <w:spacing w:before="2" w:after="2"/>
        <w:jc w:val="both"/>
      </w:pPr>
      <w:r>
        <w:rPr>
          <w:rFonts w:ascii="Times New Roman" w:hAnsi="Times New Roman" w:cs="Times New Roman"/>
          <w:sz w:val="20"/>
        </w:rPr>
        <w:t xml:space="preserve">The Adviser </w:t>
      </w:r>
      <w:r w:rsidR="00A44D62">
        <w:rPr>
          <w:rFonts w:ascii="Times New Roman" w:hAnsi="Times New Roman" w:cs="Times New Roman"/>
          <w:sz w:val="20"/>
        </w:rPr>
        <w:t xml:space="preserve">may </w:t>
      </w:r>
      <w:r>
        <w:rPr>
          <w:rFonts w:ascii="Times New Roman" w:hAnsi="Times New Roman" w:cs="Times New Roman"/>
          <w:sz w:val="20"/>
        </w:rPr>
        <w:t>manage investments for other clients and may give them advice or take actions for them, for their own accounts or for accounts of persons related to them that are different from the advice they give you or actions they take for you. The Adviser is not obligated to buy, sell or recommend for you any security or other investment that they may buy, sell or recommend for any other clients or for their own accounts</w:t>
      </w:r>
      <w:r w:rsidR="00A44D62">
        <w:rPr>
          <w:rFonts w:ascii="Times New Roman" w:hAnsi="Times New Roman" w:cs="Times New Roman"/>
          <w:sz w:val="20"/>
        </w:rPr>
        <w:t xml:space="preserve"> as this may cause</w:t>
      </w:r>
      <w:r>
        <w:rPr>
          <w:rFonts w:ascii="Times New Roman" w:hAnsi="Times New Roman" w:cs="Times New Roman"/>
          <w:sz w:val="20"/>
        </w:rPr>
        <w:t xml:space="preserve"> </w:t>
      </w:r>
      <w:r w:rsidR="00A44D62">
        <w:rPr>
          <w:rFonts w:ascii="Times New Roman" w:hAnsi="Times New Roman" w:cs="Times New Roman"/>
          <w:sz w:val="20"/>
        </w:rPr>
        <w:t>c</w:t>
      </w:r>
      <w:r>
        <w:rPr>
          <w:rFonts w:ascii="Times New Roman" w:hAnsi="Times New Roman" w:cs="Times New Roman"/>
          <w:sz w:val="20"/>
        </w:rPr>
        <w:t xml:space="preserve">onflicts </w:t>
      </w:r>
      <w:r w:rsidR="00A44D62">
        <w:rPr>
          <w:rFonts w:ascii="Times New Roman" w:hAnsi="Times New Roman" w:cs="Times New Roman"/>
          <w:sz w:val="20"/>
        </w:rPr>
        <w:t>to</w:t>
      </w:r>
      <w:r>
        <w:rPr>
          <w:rFonts w:ascii="Times New Roman" w:hAnsi="Times New Roman" w:cs="Times New Roman"/>
          <w:sz w:val="20"/>
        </w:rPr>
        <w:t xml:space="preserve"> arise in the allocation of investment opportunities among accounts that the Adviser advises. The Adviser will seek to allocate investment opportunities believed appropriate for your account and other accounts advised by them among such accounts equitably and consistent with the best interests of all accounts involved. But, there can be no assurance that a particular investment opportunity that comes to the Adviser’s attention will be allocated in any particular manner. If the Adviser obtains material, non-public information about a security or its issuer that they may not lawfully use or disclose, they will have no obligation to disclose the information to you or use it for your benefit.</w:t>
      </w:r>
    </w:p>
    <w:p w:rsidR="000469DE" w:rsidRDefault="000469DE">
      <w:pPr>
        <w:spacing w:before="2" w:after="2"/>
        <w:ind w:left="720"/>
        <w:jc w:val="both"/>
      </w:pPr>
    </w:p>
    <w:p w:rsidR="000469DE" w:rsidRDefault="00FF1D60">
      <w:pPr>
        <w:spacing w:before="2" w:after="2"/>
        <w:jc w:val="both"/>
      </w:pPr>
      <w:r>
        <w:rPr>
          <w:rFonts w:ascii="Times" w:hAnsi="Times" w:cs="Times"/>
          <w:b/>
          <w:sz w:val="20"/>
        </w:rPr>
        <w:t>13</w:t>
      </w:r>
      <w:r w:rsidR="00BB3E05">
        <w:rPr>
          <w:rFonts w:ascii="Times" w:hAnsi="Times" w:cs="Times"/>
          <w:b/>
          <w:sz w:val="20"/>
        </w:rPr>
        <w:t>.   Legal Actions</w:t>
      </w:r>
    </w:p>
    <w:p w:rsidR="000469DE" w:rsidRDefault="00BB3E05" w:rsidP="00345C2D">
      <w:pPr>
        <w:spacing w:before="2" w:after="2"/>
        <w:jc w:val="both"/>
      </w:pPr>
      <w:r>
        <w:rPr>
          <w:rFonts w:ascii="Times New Roman" w:hAnsi="Times New Roman" w:cs="Times New Roman"/>
          <w:sz w:val="20"/>
        </w:rPr>
        <w:t>The Adviser will not advise you or act for you in any legal proceedings, including bankruptcies or class action</w:t>
      </w:r>
      <w:r w:rsidR="00A44D62">
        <w:rPr>
          <w:rFonts w:ascii="Times New Roman" w:hAnsi="Times New Roman" w:cs="Times New Roman"/>
          <w:sz w:val="20"/>
        </w:rPr>
        <w:t xml:space="preserve"> suits</w:t>
      </w:r>
      <w:r>
        <w:rPr>
          <w:rFonts w:ascii="Times New Roman" w:hAnsi="Times New Roman" w:cs="Times New Roman"/>
          <w:sz w:val="20"/>
        </w:rPr>
        <w:t>, involving securities held for your account or the issuers of those securities.</w:t>
      </w:r>
    </w:p>
    <w:p w:rsidR="000469DE" w:rsidRDefault="000469DE">
      <w:pPr>
        <w:spacing w:before="2" w:after="2"/>
        <w:ind w:left="720"/>
        <w:jc w:val="both"/>
      </w:pPr>
    </w:p>
    <w:p w:rsidR="000469DE" w:rsidRDefault="00FF1D60">
      <w:pPr>
        <w:spacing w:before="2" w:after="2"/>
        <w:jc w:val="both"/>
      </w:pPr>
      <w:r>
        <w:rPr>
          <w:rFonts w:ascii="Times" w:hAnsi="Times" w:cs="Times"/>
          <w:b/>
          <w:sz w:val="20"/>
        </w:rPr>
        <w:t>14</w:t>
      </w:r>
      <w:r w:rsidR="00BB3E05">
        <w:rPr>
          <w:rFonts w:ascii="Times" w:hAnsi="Times" w:cs="Times"/>
          <w:b/>
          <w:sz w:val="20"/>
        </w:rPr>
        <w:t>.    Proxy Voting</w:t>
      </w:r>
    </w:p>
    <w:p w:rsidR="000469DE" w:rsidRDefault="00BB3E05" w:rsidP="00345C2D">
      <w:pPr>
        <w:spacing w:before="2" w:after="2"/>
        <w:jc w:val="both"/>
      </w:pPr>
      <w:r>
        <w:rPr>
          <w:rFonts w:ascii="Times New Roman" w:hAnsi="Times New Roman" w:cs="Times New Roman"/>
          <w:sz w:val="20"/>
        </w:rPr>
        <w:t xml:space="preserve">The Adviser </w:t>
      </w:r>
      <w:r>
        <w:rPr>
          <w:rFonts w:ascii="Times" w:hAnsi="Times" w:cs="Times"/>
          <w:b/>
          <w:sz w:val="20"/>
        </w:rPr>
        <w:t xml:space="preserve">will not vote </w:t>
      </w:r>
      <w:r>
        <w:rPr>
          <w:rFonts w:ascii="Times New Roman" w:hAnsi="Times New Roman" w:cs="Times New Roman"/>
          <w:sz w:val="20"/>
        </w:rPr>
        <w:t xml:space="preserve">proxies for securities held in the account. All proxies and shareholder communications relating to securities held in your account will normally be delivered to the address of record on the account, which normally will be your address. If you have any questions regarding any </w:t>
      </w:r>
      <w:r>
        <w:rPr>
          <w:rFonts w:ascii="Times New Roman" w:hAnsi="Times New Roman" w:cs="Times New Roman"/>
          <w:sz w:val="20"/>
        </w:rPr>
        <w:lastRenderedPageBreak/>
        <w:t>shareholder communications the Adviser will be available to answer your questions and assist you in your vote, if you so desire.</w:t>
      </w:r>
    </w:p>
    <w:p w:rsidR="000469DE" w:rsidRDefault="000469DE">
      <w:pPr>
        <w:spacing w:before="2" w:after="2"/>
        <w:ind w:left="720"/>
        <w:jc w:val="both"/>
      </w:pPr>
    </w:p>
    <w:p w:rsidR="000469DE" w:rsidRDefault="00FF1D60">
      <w:pPr>
        <w:spacing w:before="2" w:after="2"/>
        <w:jc w:val="both"/>
      </w:pPr>
      <w:r>
        <w:rPr>
          <w:rFonts w:ascii="Times" w:hAnsi="Times" w:cs="Times"/>
          <w:b/>
          <w:sz w:val="20"/>
        </w:rPr>
        <w:t>15</w:t>
      </w:r>
      <w:r w:rsidR="00BB3E05">
        <w:rPr>
          <w:rFonts w:ascii="Times" w:hAnsi="Times" w:cs="Times"/>
          <w:b/>
          <w:sz w:val="20"/>
        </w:rPr>
        <w:t>. Your Authority to Hire the Adviser</w:t>
      </w:r>
    </w:p>
    <w:p w:rsidR="000469DE" w:rsidRDefault="00BB3E05" w:rsidP="00345C2D">
      <w:pPr>
        <w:spacing w:before="2" w:after="2"/>
        <w:jc w:val="both"/>
      </w:pPr>
      <w:r>
        <w:rPr>
          <w:rFonts w:ascii="Times New Roman" w:hAnsi="Times New Roman" w:cs="Times New Roman"/>
          <w:sz w:val="20"/>
        </w:rPr>
        <w:t>By signing this agreement, you represent to the Adviser that you have the legal authority and capacity to hire them to manage the assets in your account.</w:t>
      </w:r>
    </w:p>
    <w:p w:rsidR="00FE5687" w:rsidRDefault="00FE5687">
      <w:pPr>
        <w:spacing w:before="2" w:after="2"/>
        <w:jc w:val="both"/>
        <w:rPr>
          <w:rFonts w:ascii="Times" w:hAnsi="Times" w:cs="Times"/>
          <w:b/>
          <w:sz w:val="20"/>
        </w:rPr>
      </w:pPr>
    </w:p>
    <w:p w:rsidR="00C85CA2" w:rsidRDefault="00FF1D60" w:rsidP="00345C2D">
      <w:pPr>
        <w:spacing w:before="2" w:after="2"/>
        <w:jc w:val="both"/>
      </w:pPr>
      <w:r>
        <w:rPr>
          <w:rFonts w:ascii="Times" w:hAnsi="Times" w:cs="Times"/>
          <w:b/>
          <w:sz w:val="20"/>
        </w:rPr>
        <w:t>16</w:t>
      </w:r>
      <w:r w:rsidR="00BB3E05">
        <w:rPr>
          <w:rFonts w:ascii="Times" w:hAnsi="Times" w:cs="Times"/>
          <w:b/>
          <w:sz w:val="20"/>
        </w:rPr>
        <w:t>. Your Death</w:t>
      </w:r>
    </w:p>
    <w:p w:rsidR="000469DE" w:rsidRDefault="00BB3E05" w:rsidP="00345C2D">
      <w:pPr>
        <w:spacing w:before="2" w:after="2"/>
        <w:jc w:val="both"/>
      </w:pPr>
      <w:r>
        <w:rPr>
          <w:rFonts w:ascii="Times New Roman" w:hAnsi="Times New Roman" w:cs="Times New Roman"/>
          <w:sz w:val="20"/>
        </w:rPr>
        <w:t>Your death, disability or incompetence will not automatically terminate or change the terms of this agreement. However, your personal representative, guardian, attorney-in-fact or other authorized representative may cancel this agreement by giving written notice to the Adviser.</w:t>
      </w:r>
    </w:p>
    <w:p w:rsidR="000469DE" w:rsidRDefault="000469DE">
      <w:pPr>
        <w:spacing w:before="2" w:after="2"/>
        <w:ind w:left="720"/>
        <w:jc w:val="both"/>
      </w:pPr>
    </w:p>
    <w:p w:rsidR="000469DE" w:rsidRDefault="00FF1D60">
      <w:pPr>
        <w:spacing w:before="2" w:after="2"/>
        <w:jc w:val="both"/>
      </w:pPr>
      <w:r>
        <w:rPr>
          <w:rFonts w:ascii="Times" w:hAnsi="Times" w:cs="Times"/>
          <w:b/>
          <w:sz w:val="20"/>
        </w:rPr>
        <w:t>17</w:t>
      </w:r>
      <w:r w:rsidR="00BB3E05">
        <w:rPr>
          <w:rFonts w:ascii="Times" w:hAnsi="Times" w:cs="Times"/>
          <w:b/>
          <w:sz w:val="20"/>
        </w:rPr>
        <w:t>. Notices</w:t>
      </w:r>
    </w:p>
    <w:p w:rsidR="000469DE" w:rsidRDefault="00BB3E05" w:rsidP="00345C2D">
      <w:pPr>
        <w:spacing w:before="2" w:after="2"/>
        <w:jc w:val="both"/>
      </w:pPr>
      <w:r>
        <w:rPr>
          <w:rFonts w:ascii="Times New Roman" w:hAnsi="Times New Roman" w:cs="Times New Roman"/>
          <w:sz w:val="20"/>
        </w:rPr>
        <w:t xml:space="preserve">You may send notices or other information to the Adviser in person, by mail, overnight courier or facsimile transmission at the address shown at the end of this agreement or another address they give you in writing. The Adviser will send reports and notices to you in person, by mail or overnight courier or by facsimile transmission </w:t>
      </w:r>
      <w:r w:rsidR="00A44D62">
        <w:rPr>
          <w:rFonts w:ascii="Times New Roman" w:hAnsi="Times New Roman" w:cs="Times New Roman"/>
          <w:sz w:val="20"/>
        </w:rPr>
        <w:t>to</w:t>
      </w:r>
      <w:r>
        <w:rPr>
          <w:rFonts w:ascii="Times New Roman" w:hAnsi="Times New Roman" w:cs="Times New Roman"/>
          <w:sz w:val="20"/>
        </w:rPr>
        <w:t xml:space="preserve"> the address shown at the end of this agreement or another address that you give them in writing. Any notice or information sent by mail will be deemed </w:t>
      </w:r>
      <w:r w:rsidR="00A44D62">
        <w:rPr>
          <w:rFonts w:ascii="Times New Roman" w:hAnsi="Times New Roman" w:cs="Times New Roman"/>
          <w:sz w:val="20"/>
        </w:rPr>
        <w:t>delivered and accepted,</w:t>
      </w:r>
      <w:r>
        <w:rPr>
          <w:rFonts w:ascii="Times New Roman" w:hAnsi="Times New Roman" w:cs="Times New Roman"/>
          <w:sz w:val="20"/>
        </w:rPr>
        <w:t xml:space="preserve"> three business days after deposited in the mail with appropriate postage. Notices and information sent by overnight courier, hand delivery or facsimile transmission will be deemed given when delivered or received.</w:t>
      </w:r>
    </w:p>
    <w:p w:rsidR="000469DE" w:rsidRDefault="000469DE">
      <w:pPr>
        <w:spacing w:before="2" w:after="2"/>
        <w:ind w:left="720"/>
        <w:jc w:val="both"/>
      </w:pPr>
    </w:p>
    <w:p w:rsidR="000469DE" w:rsidRDefault="00FF1D60">
      <w:pPr>
        <w:spacing w:before="2" w:after="2"/>
        <w:jc w:val="both"/>
      </w:pPr>
      <w:r>
        <w:rPr>
          <w:rFonts w:ascii="Times" w:hAnsi="Times" w:cs="Times"/>
          <w:b/>
          <w:sz w:val="20"/>
        </w:rPr>
        <w:t>18</w:t>
      </w:r>
      <w:r w:rsidR="00BB3E05">
        <w:rPr>
          <w:rFonts w:ascii="Times" w:hAnsi="Times" w:cs="Times"/>
          <w:b/>
          <w:sz w:val="20"/>
        </w:rPr>
        <w:t>. Miscellaneous</w:t>
      </w:r>
    </w:p>
    <w:p w:rsidR="000469DE" w:rsidRDefault="00BB3E05" w:rsidP="00345C2D">
      <w:pPr>
        <w:spacing w:before="2" w:after="2"/>
        <w:jc w:val="both"/>
      </w:pPr>
      <w:r>
        <w:rPr>
          <w:rFonts w:ascii="Times New Roman" w:hAnsi="Times New Roman" w:cs="Times New Roman"/>
          <w:sz w:val="20"/>
        </w:rPr>
        <w:t>If any provision of this agreement is or becomes inconsistent with any applicable law or rule, the provision will be deemed rescinded or modified to comply with such law or rule. In all other respects this agreement will continue in full force and effect. No term of this agreement may be waived or changed except in writing signed by both you and the Adviser. Failure to insist on strict compliance with this agreement or with any of its terms or any continued conduct will not be considered a waiver by either you or the Adviser of their rights under the agreement. This agreement contains the entire understanding between you and the Adviser.</w:t>
      </w:r>
    </w:p>
    <w:p w:rsidR="000469DE" w:rsidRDefault="000469DE">
      <w:pPr>
        <w:spacing w:before="2" w:after="2"/>
        <w:ind w:left="720"/>
        <w:jc w:val="both"/>
      </w:pPr>
    </w:p>
    <w:p w:rsidR="000469DE" w:rsidRDefault="00FF1D60">
      <w:pPr>
        <w:spacing w:before="2" w:after="2"/>
        <w:jc w:val="both"/>
      </w:pPr>
      <w:r>
        <w:rPr>
          <w:rFonts w:ascii="Times" w:hAnsi="Times" w:cs="Times"/>
          <w:b/>
          <w:sz w:val="20"/>
        </w:rPr>
        <w:t>19</w:t>
      </w:r>
      <w:r w:rsidR="00BB3E05">
        <w:rPr>
          <w:rFonts w:ascii="Times" w:hAnsi="Times" w:cs="Times"/>
          <w:b/>
          <w:sz w:val="20"/>
        </w:rPr>
        <w:t>. Amendments</w:t>
      </w:r>
    </w:p>
    <w:p w:rsidR="000469DE" w:rsidRDefault="00BB3E05" w:rsidP="00345C2D">
      <w:pPr>
        <w:spacing w:before="2" w:after="2"/>
        <w:jc w:val="both"/>
        <w:rPr>
          <w:rFonts w:ascii="Times New Roman" w:hAnsi="Times New Roman" w:cs="Times New Roman"/>
          <w:sz w:val="20"/>
        </w:rPr>
      </w:pPr>
      <w:r>
        <w:rPr>
          <w:rFonts w:ascii="Times New Roman" w:hAnsi="Times New Roman" w:cs="Times New Roman"/>
          <w:sz w:val="20"/>
        </w:rPr>
        <w:t>The Adviser has the right to amend this agreement by modifying or rescinding any of its provisions or by adding new provisions. Any amendment by the Adviser of this agreement will be effective 30 days after th</w:t>
      </w:r>
      <w:r w:rsidR="004549F6">
        <w:rPr>
          <w:rFonts w:ascii="Times New Roman" w:hAnsi="Times New Roman" w:cs="Times New Roman"/>
          <w:sz w:val="20"/>
        </w:rPr>
        <w:t xml:space="preserve">ey have notified you in writing </w:t>
      </w:r>
      <w:r>
        <w:rPr>
          <w:rFonts w:ascii="Times New Roman" w:hAnsi="Times New Roman" w:cs="Times New Roman"/>
          <w:sz w:val="20"/>
        </w:rPr>
        <w:t>of the change, or at a later date established by them.</w:t>
      </w: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pPr>
    </w:p>
    <w:p w:rsidR="000469DE" w:rsidRDefault="000469DE">
      <w:pPr>
        <w:spacing w:before="2" w:after="2"/>
        <w:jc w:val="both"/>
      </w:pPr>
    </w:p>
    <w:p w:rsidR="000469DE" w:rsidRDefault="00BB3E05" w:rsidP="00345C2D">
      <w:pPr>
        <w:spacing w:before="2" w:after="2"/>
        <w:jc w:val="both"/>
      </w:pPr>
      <w:r>
        <w:rPr>
          <w:rFonts w:ascii="Times New Roman" w:hAnsi="Times New Roman" w:cs="Times New Roman"/>
          <w:sz w:val="20"/>
        </w:rPr>
        <w:t>By the signatures below, we agree to the terms of this agreement.</w:t>
      </w:r>
    </w:p>
    <w:p w:rsidR="000469DE" w:rsidRDefault="000469DE">
      <w:pPr>
        <w:spacing w:before="2" w:after="2"/>
        <w:ind w:left="720"/>
        <w:jc w:val="both"/>
      </w:pPr>
    </w:p>
    <w:p w:rsidR="000469DE" w:rsidRDefault="00BB3E05">
      <w:pPr>
        <w:jc w:val="both"/>
        <w:rPr>
          <w:rFonts w:ascii="Times New Roman" w:hAnsi="Times New Roman" w:cs="Times New Roman"/>
          <w:b/>
          <w:sz w:val="20"/>
        </w:rPr>
      </w:pPr>
      <w:r>
        <w:rPr>
          <w:rFonts w:ascii="Times New Roman" w:hAnsi="Times New Roman" w:cs="Times New Roman"/>
          <w:b/>
          <w:sz w:val="20"/>
        </w:rPr>
        <w:t>*SIGNATURE</w:t>
      </w:r>
    </w:p>
    <w:p w:rsidR="00FF1D60" w:rsidRDefault="00FF1D60">
      <w:pPr>
        <w:jc w:val="both"/>
      </w:pPr>
    </w:p>
    <w:p w:rsidR="000469DE" w:rsidRDefault="00BB3E05">
      <w:pPr>
        <w:jc w:val="both"/>
        <w:rPr>
          <w:rFonts w:ascii="Times New Roman" w:hAnsi="Times New Roman" w:cs="Times New Roman"/>
          <w:sz w:val="20"/>
        </w:rPr>
      </w:pPr>
      <w:r>
        <w:rPr>
          <w:rFonts w:ascii="Times New Roman" w:hAnsi="Times New Roman" w:cs="Times New Roman"/>
          <w:sz w:val="20"/>
        </w:rPr>
        <w:t>Customer represents that all information on the foregoing account application is true and correct, and agrees to notify MCL of any material changes in writing. MCL reserves the right, but has no duty, to verify the accuracy of information provided, and to contact such bankers, brokers and others as it deems necessary. By signing below, you are providing ‘written instructions’ to MCL under the Fair Credit Reporting Act authorizing MCL to obtain information from your personal credit profile or oth</w:t>
      </w:r>
      <w:r w:rsidR="0043308D">
        <w:rPr>
          <w:rFonts w:ascii="Times New Roman" w:hAnsi="Times New Roman" w:cs="Times New Roman"/>
          <w:sz w:val="20"/>
        </w:rPr>
        <w:t xml:space="preserve">er information from </w:t>
      </w:r>
      <w:bookmarkStart w:id="0" w:name="_GoBack"/>
      <w:bookmarkEnd w:id="0"/>
      <w:r>
        <w:rPr>
          <w:rFonts w:ascii="Times New Roman" w:hAnsi="Times New Roman" w:cs="Times New Roman"/>
          <w:sz w:val="20"/>
        </w:rPr>
        <w:t>other third parties (including other credit reporting entities). You authorize MCL to obtain such information solely to confirm your identity and to avoid fraudulent transactions in your name.</w:t>
      </w:r>
    </w:p>
    <w:p w:rsidR="002737F1" w:rsidRDefault="002737F1">
      <w:pPr>
        <w:jc w:val="both"/>
      </w:pPr>
    </w:p>
    <w:p w:rsidR="000469DE" w:rsidRDefault="00BB3E05">
      <w:pPr>
        <w:jc w:val="both"/>
      </w:pPr>
      <w:r>
        <w:rPr>
          <w:rFonts w:ascii="Times New Roman" w:hAnsi="Times New Roman" w:cs="Times New Roman"/>
          <w:sz w:val="20"/>
        </w:rPr>
        <w:t>AGREED AND AUTHORIZED THIS ______________</w:t>
      </w:r>
      <w:r w:rsidR="00395721">
        <w:rPr>
          <w:rFonts w:ascii="Times New Roman" w:hAnsi="Times New Roman" w:cs="Times New Roman"/>
          <w:sz w:val="20"/>
        </w:rPr>
        <w:t xml:space="preserve">___ DAY OF ___________, YEAR </w:t>
      </w:r>
      <w:r>
        <w:rPr>
          <w:rFonts w:ascii="Times New Roman" w:hAnsi="Times New Roman" w:cs="Times New Roman"/>
          <w:sz w:val="20"/>
        </w:rPr>
        <w:t>_____</w:t>
      </w:r>
      <w:r w:rsidR="00395721">
        <w:rPr>
          <w:rFonts w:ascii="Times New Roman" w:hAnsi="Times New Roman" w:cs="Times New Roman"/>
          <w:sz w:val="20"/>
        </w:rPr>
        <w:t>___</w:t>
      </w:r>
      <w:r>
        <w:rPr>
          <w:rFonts w:ascii="Times New Roman" w:hAnsi="Times New Roman" w:cs="Times New Roman"/>
          <w:sz w:val="20"/>
        </w:rPr>
        <w:t xml:space="preserve"> .</w:t>
      </w:r>
    </w:p>
    <w:p w:rsidR="000469DE" w:rsidRDefault="000469DE">
      <w:pPr>
        <w:jc w:val="both"/>
      </w:pPr>
    </w:p>
    <w:p w:rsidR="003C7E81" w:rsidRDefault="003C7E81" w:rsidP="00D02B3F">
      <w:pPr>
        <w:pBdr>
          <w:bottom w:val="single" w:sz="4" w:space="1" w:color="auto"/>
        </w:pBdr>
        <w:jc w:val="both"/>
        <w:rPr>
          <w:sz w:val="20"/>
          <w:szCs w:val="20"/>
        </w:rPr>
      </w:pPr>
    </w:p>
    <w:p w:rsidR="00D02B3F" w:rsidRPr="00D02B3F" w:rsidRDefault="00347E78" w:rsidP="00D02B3F">
      <w:pPr>
        <w:pBdr>
          <w:bottom w:val="single" w:sz="4" w:space="1" w:color="auto"/>
        </w:pBdr>
        <w:jc w:val="both"/>
        <w:rPr>
          <w:sz w:val="20"/>
          <w:szCs w:val="20"/>
        </w:rPr>
      </w:pPr>
      <w:r>
        <w:rPr>
          <w:sz w:val="20"/>
          <w:szCs w:val="20"/>
        </w:rPr>
        <w:t xml:space="preserve">Primary Customer </w:t>
      </w:r>
      <w:r w:rsidR="00D02B3F" w:rsidRPr="00D02B3F">
        <w:rPr>
          <w:sz w:val="20"/>
          <w:szCs w:val="20"/>
        </w:rPr>
        <w:t>Signature :</w:t>
      </w:r>
    </w:p>
    <w:p w:rsidR="00D02B3F" w:rsidRDefault="00D02B3F" w:rsidP="00D02B3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D02B3F" w:rsidRPr="003C7E81" w:rsidRDefault="00347E78" w:rsidP="003C7E81">
      <w:pPr>
        <w:pBdr>
          <w:bottom w:val="single" w:sz="4"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r>
        <w:rPr>
          <w:sz w:val="20"/>
          <w:szCs w:val="20"/>
        </w:rPr>
        <w:t xml:space="preserve">Primary Customer </w:t>
      </w:r>
      <w:r w:rsidR="00D02B3F" w:rsidRPr="00D02B3F">
        <w:rPr>
          <w:sz w:val="20"/>
          <w:szCs w:val="20"/>
        </w:rPr>
        <w:t xml:space="preserve"> Name:</w:t>
      </w:r>
    </w:p>
    <w:p w:rsidR="00347E78" w:rsidRDefault="00347E78" w:rsidP="00347E78">
      <w:pPr>
        <w:pBdr>
          <w:bottom w:val="single" w:sz="12"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3D06DC" w:rsidRDefault="003D06DC" w:rsidP="00347E78">
      <w:pPr>
        <w:pBdr>
          <w:bottom w:val="single" w:sz="12"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A52249" w:rsidRPr="003D06DC" w:rsidRDefault="00D02B3F" w:rsidP="003D06D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0"/>
          <w:szCs w:val="20"/>
        </w:rPr>
      </w:pPr>
      <w:r w:rsidRPr="00347E78">
        <w:rPr>
          <w:b/>
          <w:sz w:val="20"/>
          <w:szCs w:val="20"/>
        </w:rPr>
        <w:t>Maxim C</w:t>
      </w:r>
      <w:r w:rsidR="00347E78" w:rsidRPr="00347E78">
        <w:rPr>
          <w:b/>
          <w:sz w:val="20"/>
          <w:szCs w:val="20"/>
        </w:rPr>
        <w:t>a</w:t>
      </w:r>
      <w:r w:rsidRPr="00347E78">
        <w:rPr>
          <w:b/>
          <w:sz w:val="20"/>
          <w:szCs w:val="20"/>
        </w:rPr>
        <w:t xml:space="preserve">pital Ltd </w:t>
      </w:r>
      <w:proofErr w:type="spellStart"/>
      <w:r w:rsidRPr="00347E78">
        <w:rPr>
          <w:b/>
          <w:sz w:val="20"/>
          <w:szCs w:val="20"/>
        </w:rPr>
        <w:t>Au</w:t>
      </w:r>
      <w:r w:rsidR="00347E78">
        <w:rPr>
          <w:b/>
          <w:sz w:val="20"/>
          <w:szCs w:val="20"/>
        </w:rPr>
        <w:t>thorisation</w:t>
      </w:r>
      <w:proofErr w:type="spellEnd"/>
      <w:r w:rsidR="00347E78">
        <w:rPr>
          <w:b/>
          <w:sz w:val="20"/>
          <w:szCs w:val="20"/>
        </w:rPr>
        <w:t>:</w:t>
      </w:r>
    </w:p>
    <w:p w:rsidR="00FE5687" w:rsidRDefault="00FE5687" w:rsidP="00A52249">
      <w:pPr>
        <w:pBdr>
          <w:bottom w:val="single" w:sz="4" w:space="1" w:color="auto"/>
        </w:pBdr>
        <w:jc w:val="both"/>
        <w:rPr>
          <w:sz w:val="20"/>
          <w:szCs w:val="20"/>
        </w:rPr>
      </w:pPr>
    </w:p>
    <w:p w:rsidR="00A52249" w:rsidRPr="00D02B3F" w:rsidRDefault="00A52249" w:rsidP="00A52249">
      <w:pPr>
        <w:pBdr>
          <w:bottom w:val="single" w:sz="4" w:space="1" w:color="auto"/>
        </w:pBdr>
        <w:jc w:val="both"/>
        <w:rPr>
          <w:sz w:val="20"/>
          <w:szCs w:val="20"/>
        </w:rPr>
      </w:pPr>
      <w:r w:rsidRPr="00D02B3F">
        <w:rPr>
          <w:sz w:val="20"/>
          <w:szCs w:val="20"/>
        </w:rPr>
        <w:t>Signature :</w:t>
      </w:r>
      <w:r>
        <w:rPr>
          <w:noProof/>
          <w:lang w:eastAsia="zh-CN"/>
        </w:rPr>
        <w:drawing>
          <wp:inline distT="0" distB="0" distL="0" distR="0">
            <wp:extent cx="1352550" cy="351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2550" cy="351398"/>
                    </a:xfrm>
                    <a:prstGeom prst="rect">
                      <a:avLst/>
                    </a:prstGeom>
                    <a:noFill/>
                    <a:ln>
                      <a:noFill/>
                    </a:ln>
                  </pic:spPr>
                </pic:pic>
              </a:graphicData>
            </a:graphic>
          </wp:inline>
        </w:drawing>
      </w:r>
    </w:p>
    <w:p w:rsidR="00A52249" w:rsidRDefault="00A52249" w:rsidP="00A5224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395721" w:rsidRDefault="00A52249" w:rsidP="00A52249">
      <w:pPr>
        <w:pBdr>
          <w:bottom w:val="single" w:sz="4"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sidRPr="00D02B3F">
        <w:rPr>
          <w:sz w:val="20"/>
          <w:szCs w:val="20"/>
        </w:rPr>
        <w:t>Name:</w:t>
      </w:r>
      <w:r>
        <w:t>Mikhail</w:t>
      </w:r>
      <w:proofErr w:type="spellEnd"/>
      <w:r>
        <w:t xml:space="preserve"> </w:t>
      </w:r>
      <w:proofErr w:type="spellStart"/>
      <w:r>
        <w:t>Lebedev</w:t>
      </w:r>
      <w:proofErr w:type="spellEnd"/>
      <w:r>
        <w:t xml:space="preserve">  (Managing Director)</w:t>
      </w:r>
    </w:p>
    <w:sectPr w:rsidR="00395721" w:rsidSect="000469DE">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488" w:rsidRDefault="00A67488" w:rsidP="00395721">
      <w:r>
        <w:separator/>
      </w:r>
    </w:p>
  </w:endnote>
  <w:endnote w:type="continuationSeparator" w:id="0">
    <w:p w:rsidR="00A67488" w:rsidRDefault="00A67488" w:rsidP="00395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5"/>
      <w:gridCol w:w="886"/>
      <w:gridCol w:w="3985"/>
    </w:tblGrid>
    <w:tr w:rsidR="002737F1">
      <w:trPr>
        <w:trHeight w:val="151"/>
      </w:trPr>
      <w:tc>
        <w:tcPr>
          <w:tcW w:w="2250" w:type="pct"/>
          <w:tcBorders>
            <w:bottom w:val="single" w:sz="4" w:space="0" w:color="4F81BD" w:themeColor="accent1"/>
          </w:tcBorders>
        </w:tcPr>
        <w:p w:rsidR="002737F1" w:rsidRDefault="002737F1">
          <w:pPr>
            <w:pStyle w:val="Header"/>
            <w:rPr>
              <w:rFonts w:asciiTheme="majorHAnsi" w:eastAsiaTheme="majorEastAsia" w:hAnsiTheme="majorHAnsi" w:cstheme="majorBidi"/>
              <w:b/>
              <w:bCs/>
            </w:rPr>
          </w:pPr>
        </w:p>
      </w:tc>
      <w:tc>
        <w:tcPr>
          <w:tcW w:w="500" w:type="pct"/>
          <w:vMerge w:val="restart"/>
          <w:noWrap/>
          <w:vAlign w:val="center"/>
        </w:tcPr>
        <w:p w:rsidR="002737F1" w:rsidRDefault="002737F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FF5222">
            <w:fldChar w:fldCharType="begin"/>
          </w:r>
          <w:r>
            <w:instrText xml:space="preserve"> PAGE  \* MERGEFORMAT </w:instrText>
          </w:r>
          <w:r w:rsidR="00FF5222">
            <w:fldChar w:fldCharType="separate"/>
          </w:r>
          <w:r w:rsidR="0043308D" w:rsidRPr="0043308D">
            <w:rPr>
              <w:rFonts w:asciiTheme="majorHAnsi" w:eastAsiaTheme="majorEastAsia" w:hAnsiTheme="majorHAnsi" w:cstheme="majorBidi"/>
              <w:b/>
              <w:bCs/>
              <w:noProof/>
            </w:rPr>
            <w:t>5</w:t>
          </w:r>
          <w:r w:rsidR="00FF5222">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2737F1" w:rsidRDefault="002737F1">
          <w:pPr>
            <w:pStyle w:val="Header"/>
            <w:rPr>
              <w:rFonts w:asciiTheme="majorHAnsi" w:eastAsiaTheme="majorEastAsia" w:hAnsiTheme="majorHAnsi" w:cstheme="majorBidi"/>
              <w:b/>
              <w:bCs/>
            </w:rPr>
          </w:pPr>
        </w:p>
      </w:tc>
    </w:tr>
    <w:tr w:rsidR="002737F1">
      <w:trPr>
        <w:trHeight w:val="150"/>
      </w:trPr>
      <w:tc>
        <w:tcPr>
          <w:tcW w:w="2250" w:type="pct"/>
          <w:tcBorders>
            <w:top w:val="single" w:sz="4" w:space="0" w:color="4F81BD" w:themeColor="accent1"/>
          </w:tcBorders>
        </w:tcPr>
        <w:p w:rsidR="002737F1" w:rsidRDefault="002737F1">
          <w:pPr>
            <w:pStyle w:val="Header"/>
            <w:rPr>
              <w:rFonts w:asciiTheme="majorHAnsi" w:eastAsiaTheme="majorEastAsia" w:hAnsiTheme="majorHAnsi" w:cstheme="majorBidi"/>
              <w:b/>
              <w:bCs/>
            </w:rPr>
          </w:pPr>
        </w:p>
      </w:tc>
      <w:tc>
        <w:tcPr>
          <w:tcW w:w="500" w:type="pct"/>
          <w:vMerge/>
        </w:tcPr>
        <w:p w:rsidR="002737F1" w:rsidRDefault="002737F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737F1" w:rsidRDefault="002737F1">
          <w:pPr>
            <w:pStyle w:val="Header"/>
            <w:rPr>
              <w:rFonts w:asciiTheme="majorHAnsi" w:eastAsiaTheme="majorEastAsia" w:hAnsiTheme="majorHAnsi" w:cstheme="majorBidi"/>
              <w:b/>
              <w:bCs/>
            </w:rPr>
          </w:pPr>
        </w:p>
      </w:tc>
    </w:tr>
  </w:tbl>
  <w:p w:rsidR="002737F1" w:rsidRDefault="002737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488" w:rsidRDefault="00A67488" w:rsidP="00395721">
      <w:r>
        <w:separator/>
      </w:r>
    </w:p>
  </w:footnote>
  <w:footnote w:type="continuationSeparator" w:id="0">
    <w:p w:rsidR="00A67488" w:rsidRDefault="00A67488" w:rsidP="003957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6DC" w:rsidRPr="00A01450" w:rsidRDefault="00307599" w:rsidP="003D06DC">
    <w:pPr>
      <w:pStyle w:val="Header"/>
      <w:tabs>
        <w:tab w:val="clear" w:pos="4320"/>
        <w:tab w:val="clear" w:pos="8640"/>
        <w:tab w:val="left" w:pos="5655"/>
      </w:tabs>
      <w:ind w:left="4320" w:right="120"/>
      <w:jc w:val="right"/>
      <w:rPr>
        <w:rStyle w:val="apple-converted-space"/>
        <w:rFonts w:asciiTheme="majorHAnsi" w:hAnsiTheme="majorHAnsi" w:cstheme="majorHAnsi"/>
        <w:color w:val="666666"/>
        <w:sz w:val="18"/>
        <w:szCs w:val="18"/>
        <w:shd w:val="clear" w:color="auto" w:fill="FFFFFF"/>
      </w:rPr>
    </w:pPr>
    <w:r w:rsidRPr="00A01450">
      <w:rPr>
        <w:rFonts w:asciiTheme="majorHAnsi" w:hAnsiTheme="majorHAnsi" w:cstheme="majorHAnsi"/>
        <w:noProof/>
        <w:sz w:val="18"/>
        <w:szCs w:val="18"/>
        <w:lang w:eastAsia="zh-CN"/>
      </w:rPr>
      <w:drawing>
        <wp:anchor distT="0" distB="0" distL="114300" distR="114300" simplePos="0" relativeHeight="251658240" behindDoc="1" locked="0" layoutInCell="1" allowOverlap="1">
          <wp:simplePos x="0" y="0"/>
          <wp:positionH relativeFrom="column">
            <wp:posOffset>10160</wp:posOffset>
          </wp:positionH>
          <wp:positionV relativeFrom="paragraph">
            <wp:posOffset>-179462</wp:posOffset>
          </wp:positionV>
          <wp:extent cx="1967191" cy="590550"/>
          <wp:effectExtent l="0" t="0" r="0" b="0"/>
          <wp:wrapNone/>
          <wp:docPr id="7" name="Picture 7" descr="Description: Maxim Trader | Maxim Trader 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xim Trader | Maxim Trader Tag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7191" cy="590550"/>
                  </a:xfrm>
                  <a:prstGeom prst="rect">
                    <a:avLst/>
                  </a:prstGeom>
                  <a:noFill/>
                  <a:ln>
                    <a:noFill/>
                  </a:ln>
                </pic:spPr>
              </pic:pic>
            </a:graphicData>
          </a:graphic>
        </wp:anchor>
      </w:drawing>
    </w:r>
    <w:r w:rsidR="003D06DC" w:rsidRPr="00A01450">
      <w:rPr>
        <w:rFonts w:asciiTheme="majorHAnsi" w:hAnsiTheme="majorHAnsi" w:cstheme="majorHAnsi"/>
        <w:color w:val="666666"/>
        <w:sz w:val="18"/>
        <w:szCs w:val="18"/>
        <w:shd w:val="clear" w:color="auto" w:fill="FFFFFF"/>
      </w:rPr>
      <w:t>Level 8, 10/12 Scotia Place, Suite 11, Auckland City Centre, Auckland, 1010, New Zealand.</w:t>
    </w:r>
    <w:r w:rsidR="003D06DC" w:rsidRPr="00A01450">
      <w:rPr>
        <w:rStyle w:val="apple-converted-space"/>
        <w:rFonts w:asciiTheme="majorHAnsi" w:hAnsiTheme="majorHAnsi" w:cstheme="majorHAnsi"/>
        <w:color w:val="666666"/>
        <w:sz w:val="18"/>
        <w:szCs w:val="18"/>
        <w:shd w:val="clear" w:color="auto" w:fill="FFFFFF"/>
      </w:rPr>
      <w:t> </w:t>
    </w:r>
  </w:p>
  <w:p w:rsidR="00395721" w:rsidRPr="00A01450" w:rsidRDefault="00A01450" w:rsidP="00A01450">
    <w:pPr>
      <w:pStyle w:val="Header"/>
      <w:tabs>
        <w:tab w:val="clear" w:pos="4320"/>
        <w:tab w:val="clear" w:pos="8640"/>
        <w:tab w:val="left" w:pos="5655"/>
      </w:tabs>
      <w:ind w:left="2160" w:right="170" w:firstLine="2160"/>
      <w:jc w:val="right"/>
      <w:rPr>
        <w:rFonts w:asciiTheme="majorHAnsi" w:hAnsiTheme="majorHAnsi" w:cstheme="majorHAnsi"/>
        <w:color w:val="666666"/>
        <w:sz w:val="17"/>
        <w:szCs w:val="17"/>
        <w:shd w:val="clear" w:color="auto" w:fill="FFFFFF"/>
      </w:rPr>
    </w:pPr>
    <w:r w:rsidRPr="00A01450">
      <w:rPr>
        <w:rStyle w:val="Strong"/>
        <w:rFonts w:asciiTheme="majorHAnsi" w:hAnsiTheme="majorHAnsi" w:cstheme="majorHAnsi"/>
        <w:b w:val="0"/>
        <w:color w:val="222222"/>
        <w:sz w:val="18"/>
        <w:szCs w:val="18"/>
        <w:bdr w:val="none" w:sz="0" w:space="0" w:color="auto" w:frame="1"/>
        <w:shd w:val="clear" w:color="auto" w:fill="FFFFFF"/>
      </w:rPr>
      <w:t xml:space="preserve">Tel </w:t>
    </w:r>
    <w:r w:rsidR="003D06DC" w:rsidRPr="00A01450">
      <w:rPr>
        <w:rStyle w:val="Strong"/>
        <w:rFonts w:asciiTheme="majorHAnsi" w:hAnsiTheme="majorHAnsi" w:cstheme="majorHAnsi"/>
        <w:color w:val="222222"/>
        <w:sz w:val="18"/>
        <w:szCs w:val="18"/>
        <w:bdr w:val="none" w:sz="0" w:space="0" w:color="auto" w:frame="1"/>
        <w:shd w:val="clear" w:color="auto" w:fill="FFFFFF"/>
      </w:rPr>
      <w:t>:</w:t>
    </w:r>
    <w:r w:rsidR="003D06DC" w:rsidRPr="00A01450">
      <w:rPr>
        <w:rStyle w:val="apple-converted-space"/>
        <w:rFonts w:asciiTheme="majorHAnsi" w:hAnsiTheme="majorHAnsi" w:cstheme="majorHAnsi"/>
        <w:color w:val="666666"/>
        <w:sz w:val="18"/>
        <w:szCs w:val="18"/>
        <w:shd w:val="clear" w:color="auto" w:fill="FFFFFF"/>
      </w:rPr>
      <w:t> </w:t>
    </w:r>
    <w:r w:rsidR="003D06DC" w:rsidRPr="00A01450">
      <w:rPr>
        <w:rFonts w:asciiTheme="majorHAnsi" w:hAnsiTheme="majorHAnsi" w:cstheme="majorHAnsi"/>
        <w:color w:val="666666"/>
        <w:sz w:val="18"/>
        <w:szCs w:val="18"/>
        <w:shd w:val="clear" w:color="auto" w:fill="FFFFFF"/>
      </w:rPr>
      <w:t>(+64) 9379 1159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839"/>
    <w:multiLevelType w:val="hybridMultilevel"/>
    <w:tmpl w:val="B44E867C"/>
    <w:lvl w:ilvl="0" w:tplc="0CB84558">
      <w:start w:val="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90659"/>
    <w:multiLevelType w:val="hybridMultilevel"/>
    <w:tmpl w:val="1ABE2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9DE"/>
    <w:rsid w:val="00031613"/>
    <w:rsid w:val="00037BE6"/>
    <w:rsid w:val="000469DE"/>
    <w:rsid w:val="000A4667"/>
    <w:rsid w:val="000C6526"/>
    <w:rsid w:val="000E0AED"/>
    <w:rsid w:val="000F51DD"/>
    <w:rsid w:val="00175283"/>
    <w:rsid w:val="001D5F3B"/>
    <w:rsid w:val="0025117C"/>
    <w:rsid w:val="00252CE8"/>
    <w:rsid w:val="002737F1"/>
    <w:rsid w:val="00276D92"/>
    <w:rsid w:val="002A2FA5"/>
    <w:rsid w:val="00307599"/>
    <w:rsid w:val="00345C2D"/>
    <w:rsid w:val="00347E78"/>
    <w:rsid w:val="00395721"/>
    <w:rsid w:val="003C7E81"/>
    <w:rsid w:val="003D06DC"/>
    <w:rsid w:val="003D79D4"/>
    <w:rsid w:val="0043308D"/>
    <w:rsid w:val="004549F6"/>
    <w:rsid w:val="004B24F2"/>
    <w:rsid w:val="005105D6"/>
    <w:rsid w:val="005271D2"/>
    <w:rsid w:val="005E3A12"/>
    <w:rsid w:val="006C4B91"/>
    <w:rsid w:val="00722E88"/>
    <w:rsid w:val="00826283"/>
    <w:rsid w:val="008764B4"/>
    <w:rsid w:val="00A01450"/>
    <w:rsid w:val="00A167BD"/>
    <w:rsid w:val="00A44D62"/>
    <w:rsid w:val="00A52249"/>
    <w:rsid w:val="00A67488"/>
    <w:rsid w:val="00A84A5D"/>
    <w:rsid w:val="00AB5F2F"/>
    <w:rsid w:val="00AE2A3C"/>
    <w:rsid w:val="00AF1085"/>
    <w:rsid w:val="00B05C24"/>
    <w:rsid w:val="00BB3E05"/>
    <w:rsid w:val="00C11A46"/>
    <w:rsid w:val="00C64338"/>
    <w:rsid w:val="00C85CA2"/>
    <w:rsid w:val="00C85E89"/>
    <w:rsid w:val="00CA20B3"/>
    <w:rsid w:val="00D02B3F"/>
    <w:rsid w:val="00D05841"/>
    <w:rsid w:val="00D615D1"/>
    <w:rsid w:val="00E708E0"/>
    <w:rsid w:val="00EA4528"/>
    <w:rsid w:val="00F51F33"/>
    <w:rsid w:val="00FD69FD"/>
    <w:rsid w:val="00FE5687"/>
    <w:rsid w:val="00FF1D60"/>
    <w:rsid w:val="00FF5222"/>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A5D"/>
    <w:pPr>
      <w:ind w:left="720"/>
      <w:contextualSpacing/>
    </w:pPr>
  </w:style>
  <w:style w:type="paragraph" w:styleId="BalloonText">
    <w:name w:val="Balloon Text"/>
    <w:basedOn w:val="Normal"/>
    <w:link w:val="BalloonTextChar"/>
    <w:uiPriority w:val="99"/>
    <w:semiHidden/>
    <w:unhideWhenUsed/>
    <w:rsid w:val="00395721"/>
    <w:rPr>
      <w:rFonts w:ascii="Tahoma" w:hAnsi="Tahoma" w:cs="Tahoma"/>
      <w:sz w:val="16"/>
      <w:szCs w:val="16"/>
    </w:rPr>
  </w:style>
  <w:style w:type="character" w:customStyle="1" w:styleId="BalloonTextChar">
    <w:name w:val="Balloon Text Char"/>
    <w:basedOn w:val="DefaultParagraphFont"/>
    <w:link w:val="BalloonText"/>
    <w:uiPriority w:val="99"/>
    <w:semiHidden/>
    <w:rsid w:val="00395721"/>
    <w:rPr>
      <w:rFonts w:ascii="Tahoma" w:hAnsi="Tahoma" w:cs="Tahoma"/>
      <w:sz w:val="16"/>
      <w:szCs w:val="16"/>
    </w:rPr>
  </w:style>
  <w:style w:type="paragraph" w:customStyle="1" w:styleId="TableContents">
    <w:name w:val="Table Contents"/>
    <w:basedOn w:val="Normal"/>
    <w:rsid w:val="00395721"/>
    <w:pPr>
      <w:widowControl w:val="0"/>
      <w:suppressLineNumbers/>
      <w:suppressAutoHyphens/>
    </w:pPr>
    <w:rPr>
      <w:rFonts w:ascii="Times New Roman" w:eastAsia="宋体" w:hAnsi="Times New Roman" w:cs="Mangal"/>
      <w:kern w:val="1"/>
      <w:lang w:val="en-MY" w:eastAsia="hi-IN" w:bidi="hi-IN"/>
    </w:rPr>
  </w:style>
  <w:style w:type="paragraph" w:styleId="Header">
    <w:name w:val="header"/>
    <w:basedOn w:val="Normal"/>
    <w:link w:val="HeaderChar"/>
    <w:uiPriority w:val="99"/>
    <w:unhideWhenUsed/>
    <w:rsid w:val="00395721"/>
    <w:pPr>
      <w:tabs>
        <w:tab w:val="center" w:pos="4320"/>
        <w:tab w:val="right" w:pos="8640"/>
      </w:tabs>
    </w:pPr>
  </w:style>
  <w:style w:type="character" w:customStyle="1" w:styleId="HeaderChar">
    <w:name w:val="Header Char"/>
    <w:basedOn w:val="DefaultParagraphFont"/>
    <w:link w:val="Header"/>
    <w:uiPriority w:val="99"/>
    <w:rsid w:val="00395721"/>
  </w:style>
  <w:style w:type="paragraph" w:styleId="Footer">
    <w:name w:val="footer"/>
    <w:basedOn w:val="Normal"/>
    <w:link w:val="FooterChar"/>
    <w:uiPriority w:val="99"/>
    <w:unhideWhenUsed/>
    <w:rsid w:val="00395721"/>
    <w:pPr>
      <w:tabs>
        <w:tab w:val="center" w:pos="4320"/>
        <w:tab w:val="right" w:pos="8640"/>
      </w:tabs>
    </w:pPr>
  </w:style>
  <w:style w:type="character" w:customStyle="1" w:styleId="FooterChar">
    <w:name w:val="Footer Char"/>
    <w:basedOn w:val="DefaultParagraphFont"/>
    <w:link w:val="Footer"/>
    <w:uiPriority w:val="99"/>
    <w:rsid w:val="00395721"/>
  </w:style>
  <w:style w:type="paragraph" w:styleId="NoSpacing">
    <w:name w:val="No Spacing"/>
    <w:link w:val="NoSpacingChar"/>
    <w:uiPriority w:val="1"/>
    <w:qFormat/>
    <w:rsid w:val="002737F1"/>
    <w:rPr>
      <w:sz w:val="22"/>
      <w:szCs w:val="22"/>
      <w:lang w:eastAsia="ja-JP"/>
    </w:rPr>
  </w:style>
  <w:style w:type="character" w:customStyle="1" w:styleId="NoSpacingChar">
    <w:name w:val="No Spacing Char"/>
    <w:basedOn w:val="DefaultParagraphFont"/>
    <w:link w:val="NoSpacing"/>
    <w:uiPriority w:val="1"/>
    <w:rsid w:val="002737F1"/>
    <w:rPr>
      <w:sz w:val="22"/>
      <w:szCs w:val="22"/>
      <w:lang w:eastAsia="ja-JP"/>
    </w:rPr>
  </w:style>
  <w:style w:type="character" w:customStyle="1" w:styleId="apple-converted-space">
    <w:name w:val="apple-converted-space"/>
    <w:basedOn w:val="DefaultParagraphFont"/>
    <w:rsid w:val="003D06DC"/>
  </w:style>
  <w:style w:type="character" w:styleId="Strong">
    <w:name w:val="Strong"/>
    <w:basedOn w:val="DefaultParagraphFont"/>
    <w:uiPriority w:val="22"/>
    <w:qFormat/>
    <w:rsid w:val="003D06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A5D"/>
    <w:pPr>
      <w:ind w:left="720"/>
      <w:contextualSpacing/>
    </w:pPr>
  </w:style>
  <w:style w:type="paragraph" w:styleId="BalloonText">
    <w:name w:val="Balloon Text"/>
    <w:basedOn w:val="Normal"/>
    <w:link w:val="BalloonTextChar"/>
    <w:uiPriority w:val="99"/>
    <w:semiHidden/>
    <w:unhideWhenUsed/>
    <w:rsid w:val="00395721"/>
    <w:rPr>
      <w:rFonts w:ascii="Tahoma" w:hAnsi="Tahoma" w:cs="Tahoma"/>
      <w:sz w:val="16"/>
      <w:szCs w:val="16"/>
    </w:rPr>
  </w:style>
  <w:style w:type="character" w:customStyle="1" w:styleId="BalloonTextChar">
    <w:name w:val="Balloon Text Char"/>
    <w:basedOn w:val="DefaultParagraphFont"/>
    <w:link w:val="BalloonText"/>
    <w:uiPriority w:val="99"/>
    <w:semiHidden/>
    <w:rsid w:val="00395721"/>
    <w:rPr>
      <w:rFonts w:ascii="Tahoma" w:hAnsi="Tahoma" w:cs="Tahoma"/>
      <w:sz w:val="16"/>
      <w:szCs w:val="16"/>
    </w:rPr>
  </w:style>
  <w:style w:type="paragraph" w:customStyle="1" w:styleId="TableContents">
    <w:name w:val="Table Contents"/>
    <w:basedOn w:val="Normal"/>
    <w:rsid w:val="00395721"/>
    <w:pPr>
      <w:widowControl w:val="0"/>
      <w:suppressLineNumbers/>
      <w:suppressAutoHyphens/>
    </w:pPr>
    <w:rPr>
      <w:rFonts w:ascii="Times New Roman" w:eastAsia="宋体" w:hAnsi="Times New Roman" w:cs="Mangal"/>
      <w:kern w:val="1"/>
      <w:lang w:val="en-MY" w:eastAsia="hi-IN" w:bidi="hi-IN"/>
    </w:rPr>
  </w:style>
  <w:style w:type="paragraph" w:styleId="Header">
    <w:name w:val="header"/>
    <w:basedOn w:val="Normal"/>
    <w:link w:val="HeaderChar"/>
    <w:uiPriority w:val="99"/>
    <w:unhideWhenUsed/>
    <w:rsid w:val="00395721"/>
    <w:pPr>
      <w:tabs>
        <w:tab w:val="center" w:pos="4320"/>
        <w:tab w:val="right" w:pos="8640"/>
      </w:tabs>
    </w:pPr>
  </w:style>
  <w:style w:type="character" w:customStyle="1" w:styleId="HeaderChar">
    <w:name w:val="Header Char"/>
    <w:basedOn w:val="DefaultParagraphFont"/>
    <w:link w:val="Header"/>
    <w:uiPriority w:val="99"/>
    <w:rsid w:val="00395721"/>
  </w:style>
  <w:style w:type="paragraph" w:styleId="Footer">
    <w:name w:val="footer"/>
    <w:basedOn w:val="Normal"/>
    <w:link w:val="FooterChar"/>
    <w:uiPriority w:val="99"/>
    <w:unhideWhenUsed/>
    <w:rsid w:val="00395721"/>
    <w:pPr>
      <w:tabs>
        <w:tab w:val="center" w:pos="4320"/>
        <w:tab w:val="right" w:pos="8640"/>
      </w:tabs>
    </w:pPr>
  </w:style>
  <w:style w:type="character" w:customStyle="1" w:styleId="FooterChar">
    <w:name w:val="Footer Char"/>
    <w:basedOn w:val="DefaultParagraphFont"/>
    <w:link w:val="Footer"/>
    <w:uiPriority w:val="99"/>
    <w:rsid w:val="00395721"/>
  </w:style>
  <w:style w:type="paragraph" w:styleId="NoSpacing">
    <w:name w:val="No Spacing"/>
    <w:link w:val="NoSpacingChar"/>
    <w:uiPriority w:val="1"/>
    <w:qFormat/>
    <w:rsid w:val="002737F1"/>
    <w:rPr>
      <w:sz w:val="22"/>
      <w:szCs w:val="22"/>
      <w:lang w:eastAsia="ja-JP"/>
    </w:rPr>
  </w:style>
  <w:style w:type="character" w:customStyle="1" w:styleId="NoSpacingChar">
    <w:name w:val="No Spacing Char"/>
    <w:basedOn w:val="DefaultParagraphFont"/>
    <w:link w:val="NoSpacing"/>
    <w:uiPriority w:val="1"/>
    <w:rsid w:val="002737F1"/>
    <w:rPr>
      <w:sz w:val="22"/>
      <w:szCs w:val="22"/>
      <w:lang w:eastAsia="ja-JP"/>
    </w:rPr>
  </w:style>
  <w:style w:type="character" w:customStyle="1" w:styleId="apple-converted-space">
    <w:name w:val="apple-converted-space"/>
    <w:basedOn w:val="DefaultParagraphFont"/>
    <w:rsid w:val="003D06DC"/>
  </w:style>
  <w:style w:type="character" w:styleId="Strong">
    <w:name w:val="Strong"/>
    <w:basedOn w:val="DefaultParagraphFont"/>
    <w:uiPriority w:val="22"/>
    <w:qFormat/>
    <w:rsid w:val="003D06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CocoaOOXMLWriter/1138.51</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CA10E-F261-234C-84CD-B6A6EA4D70B0}">
  <ds:schemaRefs>
    <ds:schemaRef ds:uri="http://schemas.apple.com/cocoa/2006/metadata"/>
  </ds:schemaRefs>
</ds:datastoreItem>
</file>

<file path=customXml/itemProps2.xml><?xml version="1.0" encoding="utf-8"?>
<ds:datastoreItem xmlns:ds="http://schemas.openxmlformats.org/officeDocument/2006/customXml" ds:itemID="{B18DDB19-C501-45CA-B77C-998D08F31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 Ser Chia</dc:creator>
  <cp:lastModifiedBy>CEN</cp:lastModifiedBy>
  <cp:revision>13</cp:revision>
  <cp:lastPrinted>2013-03-04T18:55:00Z</cp:lastPrinted>
  <dcterms:created xsi:type="dcterms:W3CDTF">2013-04-14T05:59:00Z</dcterms:created>
  <dcterms:modified xsi:type="dcterms:W3CDTF">2013-06-12T13:43:00Z</dcterms:modified>
</cp:coreProperties>
</file>