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循证医学实践作业"/>
    <w:p>
      <w:pPr>
        <w:pStyle w:val="Heading1"/>
      </w:pPr>
      <w:r>
        <w:rPr>
          <w:rFonts w:hint="eastAsia"/>
        </w:rPr>
        <w:t xml:space="preserve">循证医学实践作业</w:t>
      </w:r>
    </w:p>
    <w:p>
      <w:pPr>
        <w:pStyle w:val="FirstParagraph"/>
      </w:pPr>
      <w:r>
        <w:rPr>
          <w:rFonts w:hint="eastAsia"/>
          <w:b/>
          <w:bCs/>
        </w:rPr>
        <w:t xml:space="preserve">题目：达格列净治疗射血分数降低型心力衰竭的循证医学实践</w:t>
      </w:r>
    </w:p>
    <w:p>
      <w:r>
        <w:pict>
          <v:rect style="width:0;height:1.5pt" o:hralign="center" o:hrstd="t" o:hr="t"/>
        </w:pict>
      </w:r>
    </w:p>
    <w:bookmarkStart w:id="10" w:name="一临床案例15分"/>
    <w:p>
      <w:pPr>
        <w:pStyle w:val="Heading2"/>
      </w:pPr>
      <w:r>
        <w:rPr>
          <w:rFonts w:hint="eastAsia"/>
        </w:rPr>
        <w:t xml:space="preserve">一、临床案例（15分）</w:t>
      </w:r>
    </w:p>
    <w:bookmarkStart w:id="9" w:name="病例资料"/>
    <w:p>
      <w:pPr>
        <w:pStyle w:val="Heading3"/>
      </w:pPr>
      <w:r>
        <w:rPr>
          <w:rFonts w:hint="eastAsia"/>
        </w:rPr>
        <w:t xml:space="preserve">病例资料</w:t>
      </w:r>
    </w:p>
    <w:p>
      <w:pPr>
        <w:pStyle w:val="FirstParagraph"/>
      </w:pPr>
      <w:r>
        <w:rPr>
          <w:rFonts w:hint="eastAsia"/>
          <w:b/>
          <w:bCs/>
        </w:rPr>
        <w:t xml:space="preserve">基本信息：</w:t>
      </w:r>
      <w:r>
        <w:t xml:space="preserve"> </w:t>
      </w:r>
      <w:r>
        <w:rPr>
          <w:rFonts w:hint="eastAsia"/>
        </w:rPr>
        <w:t xml:space="preserve">患者，男性，67岁，退休教师。</w:t>
      </w:r>
    </w:p>
    <w:p>
      <w:pPr>
        <w:pStyle w:val="BodyText"/>
      </w:pPr>
      <w:r>
        <w:rPr>
          <w:rFonts w:hint="eastAsia"/>
          <w:b/>
          <w:bCs/>
        </w:rPr>
        <w:t xml:space="preserve">主诉：</w:t>
      </w:r>
      <w:r>
        <w:t xml:space="preserve"> </w:t>
      </w:r>
      <w:r>
        <w:rPr>
          <w:rFonts w:hint="eastAsia"/>
        </w:rPr>
        <w:t xml:space="preserve">反复活动后胸闷、气短3年，加重伴双下肢水肿2周。</w:t>
      </w:r>
    </w:p>
    <w:p>
      <w:pPr>
        <w:pStyle w:val="BodyText"/>
      </w:pPr>
      <w:r>
        <w:rPr>
          <w:rFonts w:hint="eastAsia"/>
          <w:b/>
          <w:bCs/>
        </w:rPr>
        <w:t xml:space="preserve">现病史：</w:t>
      </w:r>
      <w:r>
        <w:t xml:space="preserve"> </w:t>
      </w:r>
      <w:r>
        <w:rPr>
          <w:rFonts w:hint="eastAsia"/>
        </w:rPr>
        <w:t xml:space="preserve">患者3年前开始出现爬3层楼梯后气短、胸闷，休息后可缓解，未予重视。2年前于当地医院诊断为”2型糖尿病（T2DM）“，口服二甲双胍0.5g</w:t>
      </w:r>
      <w:r>
        <w:t xml:space="preserve"> </w:t>
      </w:r>
      <w:r>
        <w:rPr>
          <w:rFonts w:hint="eastAsia"/>
        </w:rPr>
        <w:t xml:space="preserve">每日2次，血糖控制欠佳（HbA1c</w:t>
      </w:r>
      <w:r>
        <w:t xml:space="preserve"> </w:t>
      </w:r>
      <w:r>
        <w:rPr>
          <w:rFonts w:hint="eastAsia"/>
        </w:rPr>
        <w:t xml:space="preserve">8.2%）。近2周活动耐量进一步下降，平地行走约100米即感气短，夜间不能平卧，需高枕位，伴双侧踝部及小腿凹陷性水肿，体重2周内增加约4</w:t>
      </w:r>
      <w:r>
        <w:t xml:space="preserve"> </w:t>
      </w:r>
      <w:r>
        <w:rPr>
          <w:rFonts w:hint="eastAsia"/>
        </w:rPr>
        <w:t xml:space="preserve">kg，尿量减少。无胸痛、晕厥，无发热、咳嗽。</w:t>
      </w:r>
    </w:p>
    <w:p>
      <w:pPr>
        <w:pStyle w:val="BodyText"/>
      </w:pPr>
      <w:r>
        <w:rPr>
          <w:rFonts w:hint="eastAsia"/>
          <w:b/>
          <w:bCs/>
        </w:rPr>
        <w:t xml:space="preserve">既往史：</w:t>
      </w:r>
      <w:r>
        <w:t xml:space="preserve"> </w:t>
      </w:r>
      <w:r>
        <w:rPr>
          <w:rFonts w:hint="eastAsia"/>
        </w:rPr>
        <w:t xml:space="preserve">高血压病史15年，规律服用缬沙坦80</w:t>
      </w:r>
      <w:r>
        <w:t xml:space="preserve"> </w:t>
      </w:r>
      <w:r>
        <w:rPr>
          <w:rFonts w:hint="eastAsia"/>
        </w:rPr>
        <w:t xml:space="preserve">mg/d，血压控制在130/80</w:t>
      </w:r>
      <w:r>
        <w:t xml:space="preserve"> </w:t>
      </w:r>
      <w:r>
        <w:rPr>
          <w:rFonts w:hint="eastAsia"/>
        </w:rPr>
        <w:t xml:space="preserve">mmHg左右；2型糖尿病2年；否认冠心病、心肌梗死病史；吸烟史30年，约20支/日，已戒烟5年；饮酒史20年，已戒酒。</w:t>
      </w:r>
    </w:p>
    <w:p>
      <w:pPr>
        <w:pStyle w:val="BodyText"/>
      </w:pPr>
      <w:r>
        <w:rPr>
          <w:rFonts w:hint="eastAsia"/>
          <w:b/>
          <w:bCs/>
        </w:rPr>
        <w:t xml:space="preserve">体格检查：</w:t>
      </w:r>
      <w:r>
        <w:t xml:space="preserve"> </w:t>
      </w:r>
      <w:r>
        <w:t xml:space="preserve">T </w:t>
      </w:r>
      <w:r>
        <w:rPr>
          <w:rFonts w:hint="eastAsia"/>
        </w:rPr>
        <w:t xml:space="preserve">36.6℃，P</w:t>
      </w:r>
      <w:r>
        <w:t xml:space="preserve"> </w:t>
      </w:r>
      <w:r>
        <w:rPr>
          <w:rFonts w:hint="eastAsia"/>
        </w:rPr>
        <w:t xml:space="preserve">88次/分（律齐），R</w:t>
      </w:r>
      <w:r>
        <w:t xml:space="preserve"> </w:t>
      </w:r>
      <w:r>
        <w:rPr>
          <w:rFonts w:hint="eastAsia"/>
        </w:rPr>
        <w:t xml:space="preserve">20次/分，BP</w:t>
      </w:r>
      <w:r>
        <w:t xml:space="preserve"> 128/78 </w:t>
      </w:r>
      <w:r>
        <w:rPr>
          <w:rFonts w:hint="eastAsia"/>
        </w:rPr>
        <w:t xml:space="preserve">mmHg，SpO₂</w:t>
      </w:r>
      <w:r>
        <w:t xml:space="preserve"> </w:t>
      </w:r>
      <w:r>
        <w:rPr>
          <w:rFonts w:hint="eastAsia"/>
        </w:rPr>
        <w:t xml:space="preserve">92%（静息，空气）。颈静脉充盈，双肺底可闻及湿啰音。心界向左扩大，心音低钝，心尖区可闻及3/6级收缩期吹风样杂音。腹部轻度膨隆，肝颈静脉回流征阳性。双侧踝部至小腿中段凹陷性水肿（++++）。</w:t>
      </w:r>
    </w:p>
    <w:p>
      <w:pPr>
        <w:pStyle w:val="BodyText"/>
      </w:pPr>
      <w:r>
        <w:rPr>
          <w:rFonts w:hint="eastAsia"/>
          <w:b/>
          <w:bCs/>
        </w:rPr>
        <w:t xml:space="preserve">辅助检查：</w:t>
      </w:r>
      <w:r>
        <w:t xml:space="preserve"> </w:t>
      </w:r>
      <w:r>
        <w:t xml:space="preserve">-</w:t>
      </w:r>
      <w:r>
        <w:t xml:space="preserve"> </w:t>
      </w:r>
      <w:r>
        <w:rPr>
          <w:rFonts w:hint="eastAsia"/>
          <w:b/>
          <w:bCs/>
        </w:rPr>
        <w:t xml:space="preserve">心电图：</w:t>
      </w:r>
      <w:r>
        <w:t xml:space="preserve"> </w:t>
      </w:r>
      <w:r>
        <w:rPr>
          <w:rFonts w:hint="eastAsia"/>
        </w:rPr>
        <w:t xml:space="preserve">窦性心律，左室高电压，ST段轻度压低（V4-V6）。</w:t>
      </w:r>
      <w:r>
        <w:t xml:space="preserve"> </w:t>
      </w:r>
      <w:r>
        <w:t xml:space="preserve">-</w:t>
      </w:r>
      <w:r>
        <w:t xml:space="preserve"> </w:t>
      </w:r>
      <w:r>
        <w:rPr>
          <w:rFonts w:hint="eastAsia"/>
          <w:b/>
          <w:bCs/>
        </w:rPr>
        <w:t xml:space="preserve">心脏彩超（UCG）：</w:t>
      </w:r>
      <w:r>
        <w:t xml:space="preserve"> </w:t>
      </w:r>
      <w:r>
        <w:rPr>
          <w:rFonts w:hint="eastAsia"/>
        </w:rPr>
        <w:t xml:space="preserve">左室舒张末径（LVEDD）67</w:t>
      </w:r>
      <w:r>
        <w:t xml:space="preserve"> </w:t>
      </w:r>
      <w:r>
        <w:rPr>
          <w:rFonts w:hint="eastAsia"/>
        </w:rPr>
        <w:t xml:space="preserve">mm，左室收缩末径（LVESD）55</w:t>
      </w:r>
      <w:r>
        <w:t xml:space="preserve"> </w:t>
      </w:r>
      <w:r>
        <w:rPr>
          <w:rFonts w:hint="eastAsia"/>
        </w:rPr>
        <w:t xml:space="preserve">mm，左室射血分数（LVEF）32%（Simpson法），左房轻度扩大，二尖瓣轻-中度反流，肺动脉压估测42</w:t>
      </w:r>
      <w:r>
        <w:t xml:space="preserve"> </w:t>
      </w:r>
      <w:r>
        <w:rPr>
          <w:rFonts w:hint="eastAsia"/>
        </w:rPr>
        <w:t xml:space="preserve">mmHg。诊断：扩张型心肌病改变，射血分数降低型心力衰竭（HFrEF）。</w:t>
      </w:r>
      <w:r>
        <w:t xml:space="preserve"> </w:t>
      </w:r>
      <w:r>
        <w:t xml:space="preserve">-</w:t>
      </w:r>
      <w:r>
        <w:t xml:space="preserve"> </w:t>
      </w:r>
      <w:r>
        <w:rPr>
          <w:rFonts w:hint="eastAsia"/>
          <w:b/>
          <w:bCs/>
        </w:rPr>
        <w:t xml:space="preserve">实验室检查：</w:t>
      </w:r>
      <w:r>
        <w:t xml:space="preserve"> </w:t>
      </w:r>
      <w:r>
        <w:t xml:space="preserve">BNP 1862 </w:t>
      </w:r>
      <w:r>
        <w:rPr>
          <w:rFonts w:hint="eastAsia"/>
        </w:rPr>
        <w:t xml:space="preserve">pg/mL（↑），NT-proBNP</w:t>
      </w:r>
      <w:r>
        <w:t xml:space="preserve"> 5420 </w:t>
      </w:r>
      <w:r>
        <w:rPr>
          <w:rFonts w:hint="eastAsia"/>
        </w:rPr>
        <w:t xml:space="preserve">pg/mL（↑）；肌钙蛋白I</w:t>
      </w:r>
      <w:r>
        <w:t xml:space="preserve"> 0.04 </w:t>
      </w:r>
      <w:r>
        <w:rPr>
          <w:rFonts w:hint="eastAsia"/>
        </w:rPr>
        <w:t xml:space="preserve">ng/mL（正常范围上限）；肾功能：Scr</w:t>
      </w:r>
      <w:r>
        <w:t xml:space="preserve"> 96 </w:t>
      </w:r>
      <w:r>
        <w:rPr>
          <w:rFonts w:hint="eastAsia"/>
        </w:rPr>
        <w:t xml:space="preserve">μmol/L，eGFR</w:t>
      </w:r>
      <w:r>
        <w:t xml:space="preserve"> 71 </w:t>
      </w:r>
      <w:r>
        <w:rPr>
          <w:rFonts w:hint="eastAsia"/>
        </w:rPr>
        <w:t xml:space="preserve">mL/min/1.73m²；空腹血糖</w:t>
      </w:r>
      <w:r>
        <w:t xml:space="preserve"> 9.2 </w:t>
      </w:r>
      <w:r>
        <w:rPr>
          <w:rFonts w:hint="eastAsia"/>
        </w:rPr>
        <w:t xml:space="preserve">mmol/L，HbA1c</w:t>
      </w:r>
      <w:r>
        <w:t xml:space="preserve"> </w:t>
      </w:r>
      <w:r>
        <w:rPr>
          <w:rFonts w:hint="eastAsia"/>
        </w:rPr>
        <w:t xml:space="preserve">8.6%；血脂：TC</w:t>
      </w:r>
      <w:r>
        <w:t xml:space="preserve"> 5.6 </w:t>
      </w:r>
      <w:r>
        <w:rPr>
          <w:rFonts w:hint="eastAsia"/>
        </w:rPr>
        <w:t xml:space="preserve">mmol/L，LDL-C</w:t>
      </w:r>
      <w:r>
        <w:t xml:space="preserve"> 3.2 </w:t>
      </w:r>
      <w:r>
        <w:rPr>
          <w:rFonts w:hint="eastAsia"/>
        </w:rPr>
        <w:t xml:space="preserve">mmol/L；血常规、电解质基本正常。</w:t>
      </w:r>
      <w:r>
        <w:t xml:space="preserve"> </w:t>
      </w:r>
      <w:r>
        <w:t xml:space="preserve">-</w:t>
      </w:r>
      <w:r>
        <w:t xml:space="preserve"> </w:t>
      </w:r>
      <w:r>
        <w:rPr>
          <w:rFonts w:hint="eastAsia"/>
          <w:b/>
          <w:bCs/>
        </w:rPr>
        <w:t xml:space="preserve">胸部X线：</w:t>
      </w:r>
      <w:r>
        <w:t xml:space="preserve"> </w:t>
      </w:r>
      <w:r>
        <w:rPr>
          <w:rFonts w:hint="eastAsia"/>
        </w:rPr>
        <w:t xml:space="preserve">心影增大，心胸比0.62，双肺纹理增重，双侧少量胸腔积液。</w:t>
      </w:r>
    </w:p>
    <w:p>
      <w:pPr>
        <w:pStyle w:val="BodyText"/>
      </w:pPr>
      <w:r>
        <w:rPr>
          <w:rFonts w:hint="eastAsia"/>
          <w:b/>
          <w:bCs/>
        </w:rPr>
        <w:t xml:space="preserve">初步诊断：</w:t>
      </w:r>
      <w:r>
        <w:t xml:space="preserve"> </w:t>
      </w:r>
      <w:r>
        <w:t xml:space="preserve">1. </w:t>
      </w:r>
      <w:r>
        <w:rPr>
          <w:rFonts w:hint="eastAsia"/>
        </w:rPr>
        <w:t xml:space="preserve">慢性心力衰竭急性加重（射血分数降低型，HFrEF，NYHA</w:t>
      </w:r>
      <w:r>
        <w:t xml:space="preserve"> </w:t>
      </w:r>
      <w:r>
        <w:rPr>
          <w:rFonts w:hint="eastAsia"/>
        </w:rPr>
        <w:t xml:space="preserve">Ⅲ级）</w:t>
      </w:r>
      <w:r>
        <w:t xml:space="preserve"> </w:t>
      </w:r>
      <w:r>
        <w:t xml:space="preserve">2. </w:t>
      </w:r>
      <w:r>
        <w:rPr>
          <w:rFonts w:hint="eastAsia"/>
        </w:rPr>
        <w:t xml:space="preserve">高血压病3级（极高危）</w:t>
      </w:r>
      <w:r>
        <w:t xml:space="preserve"> </w:t>
      </w:r>
      <w:r>
        <w:t xml:space="preserve">3. </w:t>
      </w:r>
      <w:r>
        <w:rPr>
          <w:rFonts w:hint="eastAsia"/>
        </w:rPr>
        <w:t xml:space="preserve">2型糖尿病</w:t>
      </w:r>
    </w:p>
    <w:p>
      <w:pPr>
        <w:pStyle w:val="BodyText"/>
      </w:pPr>
      <w:r>
        <w:rPr>
          <w:rFonts w:hint="eastAsia"/>
          <w:b/>
          <w:bCs/>
        </w:rPr>
        <w:t xml:space="preserve">住院处理：</w:t>
      </w:r>
      <w:r>
        <w:t xml:space="preserve"> </w:t>
      </w:r>
      <w:r>
        <w:rPr>
          <w:rFonts w:hint="eastAsia"/>
        </w:rPr>
        <w:t xml:space="preserve">予利尿（呋塞米静脉推注）、扩血管（硝酸甘油静滴）、卧床休息、低盐低脂糖尿病饮食。心衰症状改善后，优化基础治疗：沙库巴曲缬沙坦100</w:t>
      </w:r>
      <w:r>
        <w:t xml:space="preserve"> mg </w:t>
      </w:r>
      <w:r>
        <w:rPr>
          <w:rFonts w:hint="eastAsia"/>
        </w:rPr>
        <w:t xml:space="preserve">每日2次、美托洛尔缓释片23.75</w:t>
      </w:r>
      <w:r>
        <w:t xml:space="preserve"> </w:t>
      </w:r>
      <w:r>
        <w:rPr>
          <w:rFonts w:hint="eastAsia"/>
        </w:rPr>
        <w:t xml:space="preserve">mg/d（逐步滴定）、螺内酯20</w:t>
      </w:r>
      <w:r>
        <w:t xml:space="preserve"> </w:t>
      </w:r>
      <w:r>
        <w:rPr>
          <w:rFonts w:hint="eastAsia"/>
        </w:rPr>
        <w:t xml:space="preserve">mg/d，同时继续控糖治疗。</w:t>
      </w:r>
    </w:p>
    <w:p>
      <w:pPr>
        <w:pStyle w:val="BodyText"/>
      </w:pPr>
      <w:r>
        <w:rPr>
          <w:rFonts w:hint="eastAsia"/>
          <w:b/>
          <w:bCs/>
        </w:rPr>
        <w:t xml:space="preserve">临床问题的产生：</w:t>
      </w:r>
      <w:r>
        <w:t xml:space="preserve"> </w:t>
      </w:r>
      <w:r>
        <w:rPr>
          <w:rFonts w:hint="eastAsia"/>
        </w:rPr>
        <w:t xml:space="preserve">患者经以上标准心衰三联治疗（RAAS抑制剂/ARNI</w:t>
      </w:r>
      <w:r>
        <w:t xml:space="preserve"> + </w:t>
      </w:r>
      <w:r>
        <w:rPr>
          <w:rFonts w:hint="eastAsia"/>
        </w:rPr>
        <w:t xml:space="preserve">β受体阻滞剂</w:t>
      </w:r>
      <w:r>
        <w:t xml:space="preserve"> + </w:t>
      </w:r>
      <w:r>
        <w:rPr>
          <w:rFonts w:hint="eastAsia"/>
        </w:rPr>
        <w:t xml:space="preserve">醛固酮受体拮抗剂）出院后，心内科门诊随访时，主治医师考虑：对于该合并T2DM的HFrEF患者，在现有标准治疗基础上加用SGLT2抑制剂（达格列净）能否进一步降低其心衰再住院及心血管死亡风险？</w:t>
      </w:r>
    </w:p>
    <w:p>
      <w:r>
        <w:pict>
          <v:rect style="width:0;height:1.5pt" o:hralign="center" o:hrstd="t" o:hr="t"/>
        </w:pict>
      </w:r>
    </w:p>
    <w:bookmarkEnd w:id="9"/>
    <w:bookmarkEnd w:id="10"/>
    <w:bookmarkStart w:id="11" w:name="二依据picos原则提出临床问题15分"/>
    <w:p>
      <w:pPr>
        <w:pStyle w:val="Heading2"/>
      </w:pPr>
      <w:r>
        <w:rPr>
          <w:rFonts w:hint="eastAsia"/>
        </w:rPr>
        <w:t xml:space="preserve">二、依据PICOS原则提出临床问题（15分）</w:t>
      </w:r>
    </w:p>
    <w:p>
      <w:pPr>
        <w:pStyle w:val="FirstParagraph"/>
      </w:pPr>
      <w:r>
        <w:rPr>
          <w:rFonts w:hint="eastAsia"/>
        </w:rPr>
        <w:t xml:space="preserve">依据循证医学PICOS框架，将上述临床问题结构化如下：</w: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rPr>
              <w:t xml:space="preserve">PICOS要素</w:t>
            </w:r>
          </w:p>
        </w:tc>
        <w:tc>
          <w:tcPr/>
          <w:p>
            <w:pPr>
              <w:pStyle w:val="Compact"/>
              <w:jc w:val="left"/>
            </w:pPr>
            <w:r>
              <w:rPr>
                <w:rFonts w:hint="eastAsia"/>
              </w:rPr>
              <w:t xml:space="preserve">本案例内容</w:t>
            </w:r>
          </w:p>
        </w:tc>
      </w:tr>
      <w:tr>
        <w:tc>
          <w:tcPr/>
          <w:p>
            <w:pPr>
              <w:pStyle w:val="Compact"/>
              <w:jc w:val="center"/>
            </w:pPr>
            <w:r>
              <w:rPr>
                <w:b/>
                <w:bCs/>
              </w:rPr>
              <w:t xml:space="preserve">P</w:t>
            </w:r>
            <w:r>
              <w:rPr>
                <w:rFonts w:hint="eastAsia"/>
              </w:rPr>
              <w:t xml:space="preserve">（Patient/Population，患者/人群）</w:t>
            </w:r>
          </w:p>
        </w:tc>
        <w:tc>
          <w:tcPr/>
          <w:p>
            <w:pPr>
              <w:pStyle w:val="Compact"/>
              <w:jc w:val="left"/>
            </w:pPr>
            <w:r>
              <w:rPr>
                <w:rFonts w:hint="eastAsia"/>
              </w:rPr>
              <w:t xml:space="preserve">成年HFrEF患者（LVEF≤40%），伴或不伴2型糖尿病，已接受标准优化心衰药物治疗（包括RAAS阻断剂/ARNI、β受体阻滞剂、MRA）</w:t>
            </w:r>
          </w:p>
        </w:tc>
      </w:tr>
      <w:tr>
        <w:tc>
          <w:tcPr/>
          <w:p>
            <w:pPr>
              <w:pStyle w:val="Compact"/>
              <w:jc w:val="center"/>
            </w:pPr>
            <w:r>
              <w:rPr>
                <w:b/>
                <w:bCs/>
              </w:rPr>
              <w:t xml:space="preserve">I</w:t>
            </w:r>
            <w:r>
              <w:rPr>
                <w:rFonts w:hint="eastAsia"/>
              </w:rPr>
              <w:t xml:space="preserve">（Intervention，干预措施）</w:t>
            </w:r>
          </w:p>
        </w:tc>
        <w:tc>
          <w:tcPr/>
          <w:p>
            <w:pPr>
              <w:pStyle w:val="Compact"/>
              <w:jc w:val="left"/>
            </w:pPr>
            <w:r>
              <w:rPr>
                <w:rFonts w:hint="eastAsia"/>
              </w:rPr>
              <w:t xml:space="preserve">在标准治疗基础上加用达格列净（Dapagliflozin）10</w:t>
            </w:r>
            <w:r>
              <w:t xml:space="preserve"> </w:t>
            </w:r>
            <w:r>
              <w:rPr>
                <w:rFonts w:hint="eastAsia"/>
              </w:rPr>
              <w:t xml:space="preserve">mg/d口服</w:t>
            </w:r>
          </w:p>
        </w:tc>
      </w:tr>
      <w:tr>
        <w:tc>
          <w:tcPr/>
          <w:p>
            <w:pPr>
              <w:pStyle w:val="Compact"/>
              <w:jc w:val="center"/>
            </w:pPr>
            <w:r>
              <w:rPr>
                <w:b/>
                <w:bCs/>
              </w:rPr>
              <w:t xml:space="preserve">C</w:t>
            </w:r>
            <w:r>
              <w:rPr>
                <w:rFonts w:hint="eastAsia"/>
              </w:rPr>
              <w:t xml:space="preserve">（Comparison，对照措施）</w:t>
            </w:r>
          </w:p>
        </w:tc>
        <w:tc>
          <w:tcPr/>
          <w:p>
            <w:pPr>
              <w:pStyle w:val="Compact"/>
              <w:jc w:val="left"/>
            </w:pPr>
            <w:r>
              <w:rPr>
                <w:rFonts w:hint="eastAsia"/>
              </w:rPr>
              <w:t xml:space="preserve">安慰剂</w:t>
            </w:r>
            <w:r>
              <w:t xml:space="preserve"> + </w:t>
            </w:r>
            <w:r>
              <w:rPr>
                <w:rFonts w:hint="eastAsia"/>
              </w:rPr>
              <w:t xml:space="preserve">标准心衰药物治疗</w:t>
            </w:r>
          </w:p>
        </w:tc>
      </w:tr>
      <w:tr>
        <w:tc>
          <w:tcPr/>
          <w:p>
            <w:pPr>
              <w:pStyle w:val="Compact"/>
              <w:jc w:val="center"/>
            </w:pPr>
            <w:r>
              <w:rPr>
                <w:b/>
                <w:bCs/>
              </w:rPr>
              <w:t xml:space="preserve">O</w:t>
            </w:r>
            <w:r>
              <w:rPr>
                <w:rFonts w:hint="eastAsia"/>
              </w:rPr>
              <w:t xml:space="preserve">（Outcome，结局指标）</w:t>
            </w:r>
          </w:p>
        </w:tc>
        <w:tc>
          <w:tcPr/>
          <w:p>
            <w:pPr>
              <w:pStyle w:val="Compact"/>
              <w:jc w:val="left"/>
            </w:pPr>
            <w:r>
              <w:rPr>
                <w:rFonts w:hint="eastAsia"/>
              </w:rPr>
              <w:t xml:space="preserve">主要结局：心衰恶化事件（心衰住院或需急诊静脉利尿治疗）与心血管死亡的复合终点；次要结局：全因死亡率、堪萨斯城心肌病问卷（KCCQ）评分（生活质量）、肾功能变化、不良事件发生率</w:t>
            </w:r>
          </w:p>
        </w:tc>
      </w:tr>
      <w:tr>
        <w:tc>
          <w:tcPr/>
          <w:p>
            <w:pPr>
              <w:pStyle w:val="Compact"/>
              <w:jc w:val="center"/>
            </w:pPr>
            <w:r>
              <w:rPr>
                <w:b/>
                <w:bCs/>
              </w:rPr>
              <w:t xml:space="preserve">S</w:t>
            </w:r>
            <w:r>
              <w:rPr>
                <w:rFonts w:hint="eastAsia"/>
              </w:rPr>
              <w:t xml:space="preserve">（Study</w:t>
            </w:r>
            <w:r>
              <w:t xml:space="preserve"> </w:t>
            </w:r>
            <w:r>
              <w:rPr>
                <w:rFonts w:hint="eastAsia"/>
              </w:rPr>
              <w:t xml:space="preserve">Design，研究设计）</w:t>
            </w:r>
          </w:p>
        </w:tc>
        <w:tc>
          <w:tcPr/>
          <w:p>
            <w:pPr>
              <w:pStyle w:val="Compact"/>
              <w:jc w:val="left"/>
            </w:pPr>
            <w:r>
              <w:rPr>
                <w:rFonts w:hint="eastAsia"/>
              </w:rPr>
              <w:t xml:space="preserve">随机对照试验（RCT）或系统评价/Meta分析</w:t>
            </w:r>
          </w:p>
        </w:tc>
      </w:tr>
    </w:tbl>
    <w:p>
      <w:pPr>
        <w:pStyle w:val="BodyText"/>
      </w:pPr>
      <w:r>
        <w:rPr>
          <w:rFonts w:hint="eastAsia"/>
          <w:b/>
          <w:bCs/>
        </w:rPr>
        <w:t xml:space="preserve">结构化临床问题：</w:t>
      </w:r>
      <w:r>
        <w:t xml:space="preserve"> </w:t>
      </w:r>
      <w:r>
        <w:rPr>
          <w:rFonts w:hint="eastAsia"/>
        </w:rPr>
        <w:t xml:space="preserve">对于射血分数降低型心力衰竭患者（LVEF≤40%），在标准优化药物治疗基础上，与安慰剂相比，加用达格列净10</w:t>
      </w:r>
      <w:r>
        <w:t xml:space="preserve"> </w:t>
      </w:r>
      <w:r>
        <w:rPr>
          <w:rFonts w:hint="eastAsia"/>
        </w:rPr>
        <w:t xml:space="preserve">mg/d能否显著降低心衰恶化事件（心衰住院或急诊）和心血管死亡的复合终点发生风险？</w:t>
      </w:r>
    </w:p>
    <w:p>
      <w:r>
        <w:pict>
          <v:rect style="width:0;height:1.5pt" o:hralign="center" o:hrstd="t" o:hr="t"/>
        </w:pict>
      </w:r>
    </w:p>
    <w:bookmarkEnd w:id="11"/>
    <w:bookmarkStart w:id="13" w:name="三文献选择10分"/>
    <w:p>
      <w:pPr>
        <w:pStyle w:val="Heading2"/>
      </w:pPr>
      <w:r>
        <w:rPr>
          <w:rFonts w:hint="eastAsia"/>
        </w:rPr>
        <w:t xml:space="preserve">三、文献选择（10分）</w:t>
      </w:r>
    </w:p>
    <w:bookmarkStart w:id="12" w:name="选定文献"/>
    <w:p>
      <w:pPr>
        <w:pStyle w:val="Heading3"/>
      </w:pPr>
      <w:r>
        <w:rPr>
          <w:rFonts w:hint="eastAsia"/>
        </w:rPr>
        <w:t xml:space="preserve">选定文献</w:t>
      </w:r>
    </w:p>
    <w:p>
      <w:pPr>
        <w:pStyle w:val="FirstParagraph"/>
      </w:pPr>
      <w:r>
        <w:rPr>
          <w:rFonts w:hint="eastAsia"/>
          <w:b/>
          <w:bCs/>
        </w:rPr>
        <w:t xml:space="preserve">文献全称：</w:t>
      </w:r>
    </w:p>
    <w:p>
      <w:pPr>
        <w:pStyle w:val="BlockText"/>
      </w:pPr>
      <w:r>
        <w:t xml:space="preserve">McMurray JJV, Solomon SD, Inzucchi SE, Køber L, Kosiborod MN, Martinez FA, Ponikowski P, Sabatine MS, Anand IS, Bělohlávek J, Böhm M, Chiang CE, Chopra VK, de Boer RA, Desai AS, Diez M, Drozdz J, Dukát A, Ge J, Howlett JG, Katova T, Kitakaze M, Ljungman CEA, Merkely B, Nicolau JC, O’Meara E, Petrie MC, Vinh PN, Schou M, Tereshchenko S, Verma S, Held C, DeMets DL, Docherty KF, Jhund PS, Bengtsson O, Sjöstrand M, Langkilde AM; DAPA-HF Trial Committees and Investigators.</w:t>
      </w:r>
      <w:r>
        <w:t xml:space="preserve"> </w:t>
      </w:r>
      <w:r>
        <w:rPr>
          <w:b/>
          <w:bCs/>
        </w:rPr>
        <w:t xml:space="preserve">Dapagliflozin in Patients with Heart Failure and Reduced Ejection Fraction.</w:t>
      </w:r>
      <w:r>
        <w:t xml:space="preserve"> </w:t>
      </w:r>
      <w:r>
        <w:rPr>
          <w:i/>
          <w:iCs/>
        </w:rPr>
        <w:t xml:space="preserve">N Engl J Med.</w:t>
      </w:r>
      <w:r>
        <w:t xml:space="preserve"> </w:t>
      </w:r>
      <w:r>
        <w:t xml:space="preserve">2019;381(21):1995-2008. doi: 10.1056/NEJMoa1911303.</w:t>
      </w:r>
    </w:p>
    <w:p>
      <w:pPr>
        <w:pStyle w:val="FirstParagraph"/>
      </w:pPr>
      <w:r>
        <w:rPr>
          <w:rFonts w:hint="eastAsia"/>
          <w:b/>
          <w:bCs/>
        </w:rPr>
        <w:t xml:space="preserve">文献来源：</w:t>
      </w:r>
      <w:r>
        <w:t xml:space="preserve"> </w:t>
      </w:r>
      <w:r>
        <w:t xml:space="preserve">New England Journal of </w:t>
      </w:r>
      <w:r>
        <w:rPr>
          <w:rFonts w:hint="eastAsia"/>
        </w:rPr>
        <w:t xml:space="preserve">Medicine（NEJM），影响因子（IF）约96.2，顶级医学期刊。</w:t>
      </w:r>
    </w:p>
    <w:p>
      <w:pPr>
        <w:pStyle w:val="BodyText"/>
      </w:pPr>
      <w:r>
        <w:rPr>
          <w:rFonts w:hint="eastAsia"/>
          <w:b/>
          <w:bCs/>
        </w:rPr>
        <w:t xml:space="preserve">研究类型：</w:t>
      </w:r>
      <w:r>
        <w:t xml:space="preserve"> </w:t>
      </w:r>
      <w:r>
        <w:rPr>
          <w:rFonts w:hint="eastAsia"/>
        </w:rPr>
        <w:t xml:space="preserve">多中心、随机、双盲、安慰剂对照、Ⅲ期临床试验（RCT）——DAPA-HF研究。</w:t>
      </w:r>
    </w:p>
    <w:p>
      <w:pPr>
        <w:pStyle w:val="BodyText"/>
      </w:pPr>
      <w:r>
        <w:rPr>
          <w:rFonts w:hint="eastAsia"/>
          <w:b/>
          <w:bCs/>
        </w:rPr>
        <w:t xml:space="preserve">发表时间：</w:t>
      </w:r>
      <w:r>
        <w:t xml:space="preserve"> </w:t>
      </w:r>
      <w:r>
        <w:rPr>
          <w:rFonts w:hint="eastAsia"/>
        </w:rPr>
        <w:t xml:space="preserve">2019年11月，符合”不早于2019年元月”要求。</w:t>
      </w:r>
    </w:p>
    <w:p>
      <w:pPr>
        <w:pStyle w:val="BodyText"/>
      </w:pPr>
      <w:r>
        <w:rPr>
          <w:rFonts w:hint="eastAsia"/>
          <w:b/>
          <w:bCs/>
        </w:rPr>
        <w:t xml:space="preserve">选择理由：</w:t>
      </w:r>
      <w:r>
        <w:t xml:space="preserve"> </w:t>
      </w:r>
      <w:r>
        <w:t xml:space="preserve">1. </w:t>
      </w:r>
      <w:r>
        <w:rPr>
          <w:rFonts w:hint="eastAsia"/>
        </w:rPr>
        <w:t xml:space="preserve">研究设计为多中心RCT，循证级别高（证据等级Ib），内部真实性强。</w:t>
      </w:r>
      <w:r>
        <w:t xml:space="preserve"> </w:t>
      </w:r>
      <w:r>
        <w:t xml:space="preserve">2. </w:t>
      </w:r>
      <w:r>
        <w:rPr>
          <w:rFonts w:hint="eastAsia"/>
        </w:rPr>
        <w:t xml:space="preserve">研究问题与本患者PICOS高度匹配（HFrEF合并T2DM，加用SGLT2抑制剂）。</w:t>
      </w:r>
      <w:r>
        <w:t xml:space="preserve"> </w:t>
      </w:r>
      <w:r>
        <w:t xml:space="preserve">3. </w:t>
      </w:r>
      <w:r>
        <w:rPr>
          <w:rFonts w:hint="eastAsia"/>
        </w:rPr>
        <w:t xml:space="preserve">发表于NEJM，同行评审严格，透明度高。</w:t>
      </w:r>
      <w:r>
        <w:t xml:space="preserve"> </w:t>
      </w:r>
      <w:r>
        <w:t xml:space="preserve">4. </w:t>
      </w:r>
      <w:r>
        <w:rPr>
          <w:rFonts w:hint="eastAsia"/>
        </w:rPr>
        <w:t xml:space="preserve">该研究是SGLT2抑制剂用于HFrEF的里程碑式研究，改写了国际心衰指南（2021年ESC心衰指南将其升为Ⅰ类推荐）。</w:t>
      </w:r>
    </w:p>
    <w:p>
      <w:r>
        <w:pict>
          <v:rect style="width:0;height:1.5pt" o:hralign="center" o:hrstd="t" o:hr="t"/>
        </w:pict>
      </w:r>
    </w:p>
    <w:bookmarkEnd w:id="12"/>
    <w:bookmarkEnd w:id="13"/>
    <w:bookmarkStart w:id="31" w:name="四文献质量评价循证医学真实性重要性适用性评价45分"/>
    <w:p>
      <w:pPr>
        <w:pStyle w:val="Heading2"/>
      </w:pPr>
      <w:r>
        <w:rPr>
          <w:rFonts w:hint="eastAsia"/>
        </w:rPr>
        <w:t xml:space="preserve">四、文献质量评价（循证医学真实性、重要性、适用性评价）（45分）</w:t>
      </w:r>
    </w:p>
    <w:bookmarkStart w:id="20" w:name="一真实性评价validity"/>
    <w:p>
      <w:pPr>
        <w:pStyle w:val="Heading3"/>
      </w:pPr>
      <w:r>
        <w:rPr>
          <w:rFonts w:hint="eastAsia"/>
        </w:rPr>
        <w:t xml:space="preserve">（一）真实性评价（Validity）</w:t>
      </w:r>
    </w:p>
    <w:p>
      <w:pPr>
        <w:pStyle w:val="FirstParagraph"/>
      </w:pPr>
      <w:r>
        <w:rPr>
          <w:rFonts w:hint="eastAsia"/>
        </w:rPr>
        <w:t xml:space="preserve">真实性评价旨在判断研究结果是否真实可靠，即内部效度是否充分。</w:t>
      </w:r>
    </w:p>
    <w:bookmarkStart w:id="14" w:name="研究设计与随机化"/>
    <w:p>
      <w:pPr>
        <w:pStyle w:val="Heading4"/>
      </w:pPr>
      <w:r>
        <w:t xml:space="preserve">1. </w:t>
      </w:r>
      <w:r>
        <w:rPr>
          <w:rFonts w:hint="eastAsia"/>
        </w:rPr>
        <w:t xml:space="preserve">研究设计与随机化</w:t>
      </w:r>
    </w:p>
    <w:p>
      <w:pPr>
        <w:pStyle w:val="FirstParagraph"/>
      </w:pPr>
      <w:r>
        <w:rPr>
          <w:rFonts w:hint="eastAsia"/>
          <w:b/>
          <w:bCs/>
        </w:rPr>
        <w:t xml:space="preserve">DAPA-HF研究采用随机双盲安慰剂对照设计。</w:t>
      </w:r>
    </w:p>
    <w:p>
      <w:pPr>
        <w:pStyle w:val="Compact"/>
        <w:numPr>
          <w:ilvl w:val="0"/>
          <w:numId w:val="1001"/>
        </w:numPr>
      </w:pPr>
      <w:r>
        <w:rPr>
          <w:rFonts w:hint="eastAsia"/>
          <w:b/>
          <w:bCs/>
        </w:rPr>
        <w:t xml:space="preserve">随机化方法：</w:t>
      </w:r>
      <w:r>
        <w:t xml:space="preserve"> </w:t>
      </w:r>
      <w:r>
        <w:rPr>
          <w:rFonts w:hint="eastAsia"/>
        </w:rPr>
        <w:t xml:space="preserve">采用计算机生成随机序列，按照1:1比例将患者随机分配至达格列净10</w:t>
      </w:r>
      <w:r>
        <w:t xml:space="preserve"> </w:t>
      </w:r>
      <w:r>
        <w:rPr>
          <w:rFonts w:hint="eastAsia"/>
        </w:rPr>
        <w:t xml:space="preserve">mg/d组或安慰剂组。随机分层因素包括：T2DM状态（有/无）、地理区域（六大区域）。分层随机保证了各亚组间的均衡性。</w:t>
      </w:r>
    </w:p>
    <w:p>
      <w:pPr>
        <w:pStyle w:val="Compact"/>
        <w:numPr>
          <w:ilvl w:val="0"/>
          <w:numId w:val="1001"/>
        </w:numPr>
      </w:pPr>
      <w:r>
        <w:rPr>
          <w:rFonts w:hint="eastAsia"/>
          <w:b/>
          <w:bCs/>
        </w:rPr>
        <w:t xml:space="preserve">分配隐藏（Allocation</w:t>
      </w:r>
      <w:r>
        <w:rPr>
          <w:b/>
          <w:bCs/>
        </w:rPr>
        <w:t xml:space="preserve"> </w:t>
      </w:r>
      <w:r>
        <w:rPr>
          <w:rFonts w:hint="eastAsia"/>
          <w:b/>
          <w:bCs/>
        </w:rPr>
        <w:t xml:space="preserve">Concealment）：</w:t>
      </w:r>
      <w:r>
        <w:t xml:space="preserve"> </w:t>
      </w:r>
      <w:r>
        <w:rPr>
          <w:rFonts w:hint="eastAsia"/>
        </w:rPr>
        <w:t xml:space="preserve">采用中央随机化系统（IXRS），研究者和患者在分组前均无法预测分组结果，有效防止了选择偏倚。</w:t>
      </w:r>
    </w:p>
    <w:p>
      <w:pPr>
        <w:pStyle w:val="Compact"/>
        <w:numPr>
          <w:ilvl w:val="0"/>
          <w:numId w:val="1001"/>
        </w:numPr>
      </w:pPr>
      <w:r>
        <w:rPr>
          <w:rFonts w:hint="eastAsia"/>
          <w:b/>
          <w:bCs/>
        </w:rPr>
        <w:t xml:space="preserve">盲法（Blinding）：</w:t>
      </w:r>
      <w:r>
        <w:t xml:space="preserve"> </w:t>
      </w:r>
      <w:r>
        <w:rPr>
          <w:rFonts w:hint="eastAsia"/>
        </w:rPr>
        <w:t xml:space="preserve">双盲设计，患者、研究者、结局评估者及统计分析人员均对分组情况不知情，降低了测量偏倚和实施偏倚。</w:t>
      </w:r>
    </w:p>
    <w:p>
      <w:pPr>
        <w:pStyle w:val="FirstParagraph"/>
      </w:pPr>
      <w:r>
        <w:rPr>
          <w:rFonts w:hint="eastAsia"/>
          <w:b/>
          <w:bCs/>
        </w:rPr>
        <w:t xml:space="preserve">评价结论：随机化方法严谨，分配隐藏充分，双盲执行到位，内部真实性强。✓</w:t>
      </w:r>
    </w:p>
    <w:bookmarkEnd w:id="14"/>
    <w:bookmarkStart w:id="15" w:name="基线可比性"/>
    <w:p>
      <w:pPr>
        <w:pStyle w:val="Heading4"/>
      </w:pPr>
      <w:r>
        <w:t xml:space="preserve">2. </w:t>
      </w:r>
      <w:r>
        <w:rPr>
          <w:rFonts w:hint="eastAsia"/>
        </w:rPr>
        <w:t xml:space="preserve">基线可比性</w:t>
      </w:r>
    </w:p>
    <w:p>
      <w:pPr>
        <w:pStyle w:val="FirstParagraph"/>
      </w:pPr>
      <w:r>
        <w:rPr>
          <w:rFonts w:hint="eastAsia"/>
        </w:rPr>
        <w:t xml:space="preserve">研究报告显示，两组基线特征高度均衡（表1所示关键基线数据）：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基线特征</w:t>
            </w:r>
          </w:p>
        </w:tc>
        <w:tc>
          <w:tcPr/>
          <w:p>
            <w:pPr>
              <w:pStyle w:val="Compact"/>
              <w:jc w:val="center"/>
            </w:pPr>
            <w:r>
              <w:rPr>
                <w:rFonts w:hint="eastAsia"/>
              </w:rPr>
              <w:t xml:space="preserve">达格列净组（n=2373）</w:t>
            </w:r>
          </w:p>
        </w:tc>
        <w:tc>
          <w:tcPr/>
          <w:p>
            <w:pPr>
              <w:pStyle w:val="Compact"/>
              <w:jc w:val="center"/>
            </w:pPr>
            <w:r>
              <w:rPr>
                <w:rFonts w:hint="eastAsia"/>
              </w:rPr>
              <w:t xml:space="preserve">安慰剂组（n=2371）</w:t>
            </w:r>
          </w:p>
        </w:tc>
      </w:tr>
      <w:tr>
        <w:tc>
          <w:tcPr/>
          <w:p>
            <w:pPr>
              <w:pStyle w:val="Compact"/>
              <w:jc w:val="left"/>
            </w:pPr>
            <w:r>
              <w:rPr>
                <w:rFonts w:hint="eastAsia"/>
              </w:rPr>
              <w:t xml:space="preserve">年龄（岁，均值±SD）</w:t>
            </w:r>
          </w:p>
        </w:tc>
        <w:tc>
          <w:tcPr/>
          <w:p>
            <w:pPr>
              <w:pStyle w:val="Compact"/>
              <w:jc w:val="center"/>
            </w:pPr>
            <w:r>
              <w:t xml:space="preserve">66.3±10.9</w:t>
            </w:r>
          </w:p>
        </w:tc>
        <w:tc>
          <w:tcPr/>
          <w:p>
            <w:pPr>
              <w:pStyle w:val="Compact"/>
              <w:jc w:val="center"/>
            </w:pPr>
            <w:r>
              <w:t xml:space="preserve">66.5±10.8</w:t>
            </w:r>
          </w:p>
        </w:tc>
      </w:tr>
      <w:tr>
        <w:tc>
          <w:tcPr/>
          <w:p>
            <w:pPr>
              <w:pStyle w:val="Compact"/>
              <w:jc w:val="left"/>
            </w:pPr>
            <w:r>
              <w:rPr>
                <w:rFonts w:hint="eastAsia"/>
              </w:rPr>
              <w:t xml:space="preserve">女性（%）</w:t>
            </w:r>
          </w:p>
        </w:tc>
        <w:tc>
          <w:tcPr/>
          <w:p>
            <w:pPr>
              <w:pStyle w:val="Compact"/>
              <w:jc w:val="center"/>
            </w:pPr>
            <w:r>
              <w:t xml:space="preserve">23.4%</w:t>
            </w:r>
          </w:p>
        </w:tc>
        <w:tc>
          <w:tcPr/>
          <w:p>
            <w:pPr>
              <w:pStyle w:val="Compact"/>
              <w:jc w:val="center"/>
            </w:pPr>
            <w:r>
              <w:t xml:space="preserve">23.4%</w:t>
            </w:r>
          </w:p>
        </w:tc>
      </w:tr>
      <w:tr>
        <w:tc>
          <w:tcPr/>
          <w:p>
            <w:pPr>
              <w:pStyle w:val="Compact"/>
              <w:jc w:val="left"/>
            </w:pPr>
            <w:r>
              <w:rPr>
                <w:rFonts w:hint="eastAsia"/>
              </w:rPr>
              <w:t xml:space="preserve">LVEF（%，均值）</w:t>
            </w:r>
          </w:p>
        </w:tc>
        <w:tc>
          <w:tcPr/>
          <w:p>
            <w:pPr>
              <w:pStyle w:val="Compact"/>
              <w:jc w:val="center"/>
            </w:pPr>
            <w:r>
              <w:t xml:space="preserve">31.2</w:t>
            </w:r>
          </w:p>
        </w:tc>
        <w:tc>
          <w:tcPr/>
          <w:p>
            <w:pPr>
              <w:pStyle w:val="Compact"/>
              <w:jc w:val="center"/>
            </w:pPr>
            <w:r>
              <w:t xml:space="preserve">31.3</w:t>
            </w:r>
          </w:p>
        </w:tc>
      </w:tr>
      <w:tr>
        <w:tc>
          <w:tcPr/>
          <w:p>
            <w:pPr>
              <w:pStyle w:val="Compact"/>
              <w:jc w:val="left"/>
            </w:pPr>
            <w:r>
              <w:t xml:space="preserve">NYHA </w:t>
            </w:r>
            <w:r>
              <w:rPr>
                <w:rFonts w:hint="eastAsia"/>
              </w:rPr>
              <w:t xml:space="preserve">Ⅱ级（%）</w:t>
            </w:r>
          </w:p>
        </w:tc>
        <w:tc>
          <w:tcPr/>
          <w:p>
            <w:pPr>
              <w:pStyle w:val="Compact"/>
              <w:jc w:val="center"/>
            </w:pPr>
            <w:r>
              <w:t xml:space="preserve">67.5%</w:t>
            </w:r>
          </w:p>
        </w:tc>
        <w:tc>
          <w:tcPr/>
          <w:p>
            <w:pPr>
              <w:pStyle w:val="Compact"/>
              <w:jc w:val="center"/>
            </w:pPr>
            <w:r>
              <w:t xml:space="preserve">67.6%</w:t>
            </w:r>
          </w:p>
        </w:tc>
      </w:tr>
      <w:tr>
        <w:tc>
          <w:tcPr/>
          <w:p>
            <w:pPr>
              <w:pStyle w:val="Compact"/>
              <w:jc w:val="left"/>
            </w:pPr>
            <w:r>
              <w:t xml:space="preserve">NYHA </w:t>
            </w:r>
            <w:r>
              <w:rPr>
                <w:rFonts w:hint="eastAsia"/>
              </w:rPr>
              <w:t xml:space="preserve">Ⅲ/Ⅳ级（%）</w:t>
            </w:r>
          </w:p>
        </w:tc>
        <w:tc>
          <w:tcPr/>
          <w:p>
            <w:pPr>
              <w:pStyle w:val="Compact"/>
              <w:jc w:val="center"/>
            </w:pPr>
            <w:r>
              <w:t xml:space="preserve">32.5%</w:t>
            </w:r>
          </w:p>
        </w:tc>
        <w:tc>
          <w:tcPr/>
          <w:p>
            <w:pPr>
              <w:pStyle w:val="Compact"/>
              <w:jc w:val="center"/>
            </w:pPr>
            <w:r>
              <w:t xml:space="preserve">32.4%</w:t>
            </w:r>
          </w:p>
        </w:tc>
      </w:tr>
      <w:tr>
        <w:tc>
          <w:tcPr/>
          <w:p>
            <w:pPr>
              <w:pStyle w:val="Compact"/>
              <w:jc w:val="left"/>
            </w:pPr>
            <w:r>
              <w:rPr>
                <w:rFonts w:hint="eastAsia"/>
              </w:rPr>
              <w:t xml:space="preserve">合并T2DM（%）</w:t>
            </w:r>
          </w:p>
        </w:tc>
        <w:tc>
          <w:tcPr/>
          <w:p>
            <w:pPr>
              <w:pStyle w:val="Compact"/>
              <w:jc w:val="center"/>
            </w:pPr>
            <w:r>
              <w:t xml:space="preserve">45.3%</w:t>
            </w:r>
          </w:p>
        </w:tc>
        <w:tc>
          <w:tcPr/>
          <w:p>
            <w:pPr>
              <w:pStyle w:val="Compact"/>
              <w:jc w:val="center"/>
            </w:pPr>
            <w:r>
              <w:t xml:space="preserve">45.3%</w:t>
            </w:r>
          </w:p>
        </w:tc>
      </w:tr>
      <w:tr>
        <w:tc>
          <w:tcPr/>
          <w:p>
            <w:pPr>
              <w:pStyle w:val="Compact"/>
              <w:jc w:val="left"/>
            </w:pPr>
            <w:r>
              <w:rPr>
                <w:rFonts w:hint="eastAsia"/>
              </w:rPr>
              <w:t xml:space="preserve">基线NT-proBNP（中位数，pg/mL）</w:t>
            </w:r>
          </w:p>
        </w:tc>
        <w:tc>
          <w:tcPr/>
          <w:p>
            <w:pPr>
              <w:pStyle w:val="Compact"/>
              <w:jc w:val="center"/>
            </w:pPr>
            <w:r>
              <w:t xml:space="preserve">1437</w:t>
            </w:r>
          </w:p>
        </w:tc>
        <w:tc>
          <w:tcPr/>
          <w:p>
            <w:pPr>
              <w:pStyle w:val="Compact"/>
              <w:jc w:val="center"/>
            </w:pPr>
            <w:r>
              <w:t xml:space="preserve">1399</w:t>
            </w:r>
          </w:p>
        </w:tc>
      </w:tr>
      <w:tr>
        <w:tc>
          <w:tcPr/>
          <w:p>
            <w:pPr>
              <w:pStyle w:val="Compact"/>
              <w:jc w:val="left"/>
            </w:pPr>
            <w:r>
              <w:rPr>
                <w:rFonts w:hint="eastAsia"/>
              </w:rPr>
              <w:t xml:space="preserve">使用RAAS抑制剂/ARNI（%）</w:t>
            </w:r>
          </w:p>
        </w:tc>
        <w:tc>
          <w:tcPr/>
          <w:p>
            <w:pPr>
              <w:pStyle w:val="Compact"/>
              <w:jc w:val="center"/>
            </w:pPr>
            <w:r>
              <w:t xml:space="preserve">93%</w:t>
            </w:r>
          </w:p>
        </w:tc>
        <w:tc>
          <w:tcPr/>
          <w:p>
            <w:pPr>
              <w:pStyle w:val="Compact"/>
              <w:jc w:val="center"/>
            </w:pPr>
            <w:r>
              <w:t xml:space="preserve">93%</w:t>
            </w:r>
          </w:p>
        </w:tc>
      </w:tr>
      <w:tr>
        <w:tc>
          <w:tcPr/>
          <w:p>
            <w:pPr>
              <w:pStyle w:val="Compact"/>
              <w:jc w:val="left"/>
            </w:pPr>
            <w:r>
              <w:rPr>
                <w:rFonts w:hint="eastAsia"/>
              </w:rPr>
              <w:t xml:space="preserve">使用β受体阻滞剂（%）</w:t>
            </w:r>
          </w:p>
        </w:tc>
        <w:tc>
          <w:tcPr/>
          <w:p>
            <w:pPr>
              <w:pStyle w:val="Compact"/>
              <w:jc w:val="center"/>
            </w:pPr>
            <w:r>
              <w:t xml:space="preserve">96%</w:t>
            </w:r>
          </w:p>
        </w:tc>
        <w:tc>
          <w:tcPr/>
          <w:p>
            <w:pPr>
              <w:pStyle w:val="Compact"/>
              <w:jc w:val="center"/>
            </w:pPr>
            <w:r>
              <w:t xml:space="preserve">96%</w:t>
            </w:r>
          </w:p>
        </w:tc>
      </w:tr>
      <w:tr>
        <w:tc>
          <w:tcPr/>
          <w:p>
            <w:pPr>
              <w:pStyle w:val="Compact"/>
              <w:jc w:val="left"/>
            </w:pPr>
            <w:r>
              <w:rPr>
                <w:rFonts w:hint="eastAsia"/>
              </w:rPr>
              <w:t xml:space="preserve">使用MRA（%）</w:t>
            </w:r>
          </w:p>
        </w:tc>
        <w:tc>
          <w:tcPr/>
          <w:p>
            <w:pPr>
              <w:pStyle w:val="Compact"/>
              <w:jc w:val="center"/>
            </w:pPr>
            <w:r>
              <w:t xml:space="preserve">71%</w:t>
            </w:r>
          </w:p>
        </w:tc>
        <w:tc>
          <w:tcPr/>
          <w:p>
            <w:pPr>
              <w:pStyle w:val="Compact"/>
              <w:jc w:val="center"/>
            </w:pPr>
            <w:r>
              <w:t xml:space="preserve">71%</w:t>
            </w:r>
          </w:p>
        </w:tc>
      </w:tr>
    </w:tbl>
    <w:p>
      <w:pPr>
        <w:pStyle w:val="BodyText"/>
      </w:pPr>
      <w:r>
        <w:rPr>
          <w:rFonts w:hint="eastAsia"/>
        </w:rPr>
        <w:t xml:space="preserve">两组基线特征无统计学差异，提示随机化成功，两组均衡可比。</w:t>
      </w:r>
    </w:p>
    <w:p>
      <w:pPr>
        <w:pStyle w:val="BodyText"/>
      </w:pPr>
      <w:r>
        <w:rPr>
          <w:rFonts w:hint="eastAsia"/>
          <w:b/>
          <w:bCs/>
        </w:rPr>
        <w:t xml:space="preserve">评价结论：基线可比性良好，混杂因素控制充分。✓</w:t>
      </w:r>
    </w:p>
    <w:bookmarkEnd w:id="15"/>
    <w:bookmarkStart w:id="16" w:name="随访完整性与失访处理"/>
    <w:p>
      <w:pPr>
        <w:pStyle w:val="Heading4"/>
      </w:pPr>
      <w:r>
        <w:t xml:space="preserve">3. </w:t>
      </w:r>
      <w:r>
        <w:rPr>
          <w:rFonts w:hint="eastAsia"/>
        </w:rPr>
        <w:t xml:space="preserve">随访完整性与失访处理</w:t>
      </w:r>
    </w:p>
    <w:p>
      <w:pPr>
        <w:pStyle w:val="Compact"/>
        <w:numPr>
          <w:ilvl w:val="0"/>
          <w:numId w:val="1002"/>
        </w:numPr>
      </w:pPr>
      <w:r>
        <w:rPr>
          <w:rFonts w:hint="eastAsia"/>
          <w:b/>
          <w:bCs/>
        </w:rPr>
        <w:t xml:space="preserve">随访时长：</w:t>
      </w:r>
      <w:r>
        <w:t xml:space="preserve"> </w:t>
      </w:r>
      <w:r>
        <w:rPr>
          <w:rFonts w:hint="eastAsia"/>
        </w:rPr>
        <w:t xml:space="preserve">中位随访时间18.2个月（研究持续至达到预定事件数，提前停止于获益）。</w:t>
      </w:r>
    </w:p>
    <w:p>
      <w:pPr>
        <w:pStyle w:val="Compact"/>
        <w:numPr>
          <w:ilvl w:val="0"/>
          <w:numId w:val="1002"/>
        </w:numPr>
      </w:pPr>
      <w:r>
        <w:rPr>
          <w:rFonts w:hint="eastAsia"/>
          <w:b/>
          <w:bCs/>
        </w:rPr>
        <w:t xml:space="preserve">失访率：</w:t>
      </w:r>
      <w:r>
        <w:t xml:space="preserve"> </w:t>
      </w:r>
      <w:r>
        <w:rPr>
          <w:rFonts w:hint="eastAsia"/>
        </w:rPr>
        <w:t xml:space="preserve">极低。达格列净组99.1%、安慰剂组99.0%的患者完成随访或获得生存信息。</w:t>
      </w:r>
    </w:p>
    <w:p>
      <w:pPr>
        <w:pStyle w:val="Compact"/>
        <w:numPr>
          <w:ilvl w:val="0"/>
          <w:numId w:val="1002"/>
        </w:numPr>
      </w:pPr>
      <w:r>
        <w:rPr>
          <w:rFonts w:hint="eastAsia"/>
          <w:b/>
          <w:bCs/>
        </w:rPr>
        <w:t xml:space="preserve">分析方法：</w:t>
      </w:r>
      <w:r>
        <w:t xml:space="preserve"> </w:t>
      </w:r>
      <w:r>
        <w:rPr>
          <w:rFonts w:hint="eastAsia"/>
        </w:rPr>
        <w:t xml:space="preserve">采用意向治疗分析（Intention-to-Treat,</w:t>
      </w:r>
      <w:r>
        <w:t xml:space="preserve"> </w:t>
      </w:r>
      <w:r>
        <w:rPr>
          <w:rFonts w:hint="eastAsia"/>
        </w:rPr>
        <w:t xml:space="preserve">ITT），即无论后续是否中断研究药物，均纳入原分配组进行分析，避免了依从性偏倚。</w:t>
      </w:r>
    </w:p>
    <w:p>
      <w:pPr>
        <w:pStyle w:val="FirstParagraph"/>
      </w:pPr>
      <w:r>
        <w:rPr>
          <w:rFonts w:hint="eastAsia"/>
          <w:b/>
          <w:bCs/>
        </w:rPr>
        <w:t xml:space="preserve">评价结论：失访率极低（&lt;1%），ITT分析原则，随访完整性良好。✓</w:t>
      </w:r>
    </w:p>
    <w:bookmarkEnd w:id="16"/>
    <w:bookmarkStart w:id="17" w:name="研究提前终止"/>
    <w:p>
      <w:pPr>
        <w:pStyle w:val="Heading4"/>
      </w:pPr>
      <w:r>
        <w:t xml:space="preserve">4. </w:t>
      </w:r>
      <w:r>
        <w:rPr>
          <w:rFonts w:hint="eastAsia"/>
        </w:rPr>
        <w:t xml:space="preserve">研究提前终止</w:t>
      </w:r>
    </w:p>
    <w:p>
      <w:pPr>
        <w:pStyle w:val="FirstParagraph"/>
      </w:pPr>
      <w:r>
        <w:rPr>
          <w:rFonts w:hint="eastAsia"/>
        </w:rPr>
        <w:t xml:space="preserve">研究按预定方案在达到预设事件数（约672例主要终点事件）后终止，并非因安全问题而提前中止，因此不存在高估效应的担忧。独立数据安全监察委员会（DSMB）全程监督。</w:t>
      </w:r>
    </w:p>
    <w:p>
      <w:pPr>
        <w:pStyle w:val="BodyText"/>
      </w:pPr>
      <w:r>
        <w:rPr>
          <w:rFonts w:hint="eastAsia"/>
          <w:b/>
          <w:bCs/>
        </w:rPr>
        <w:t xml:space="preserve">评价结论：终止时机规范，无过度乐观偏倚。✓</w:t>
      </w:r>
    </w:p>
    <w:bookmarkEnd w:id="17"/>
    <w:bookmarkStart w:id="18" w:name="除干预因素外其他因素是否相同"/>
    <w:p>
      <w:pPr>
        <w:pStyle w:val="Heading4"/>
      </w:pPr>
      <w:r>
        <w:t xml:space="preserve">5. </w:t>
      </w:r>
      <w:r>
        <w:rPr>
          <w:rFonts w:hint="eastAsia"/>
        </w:rPr>
        <w:t xml:space="preserve">除干预因素外，其他因素是否相同</w:t>
      </w:r>
    </w:p>
    <w:p>
      <w:pPr>
        <w:pStyle w:val="FirstParagraph"/>
      </w:pPr>
      <w:r>
        <w:rPr>
          <w:rFonts w:hint="eastAsia"/>
        </w:rPr>
        <w:t xml:space="preserve">研究期间除研究药物外，两组的背景治疗（利尿剂调整、其他心衰用药）由研究者在盲态下自行优化，两组趋势相当。两组协同用药及医疗资源利用无显著差异。</w:t>
      </w:r>
    </w:p>
    <w:p>
      <w:pPr>
        <w:pStyle w:val="BodyText"/>
      </w:pPr>
      <w:r>
        <w:rPr>
          <w:rFonts w:hint="eastAsia"/>
          <w:b/>
          <w:bCs/>
        </w:rPr>
        <w:t xml:space="preserve">评价结论：研究期间协同干预均衡，无明显沾染或外溢。✓</w:t>
      </w:r>
    </w:p>
    <w:bookmarkEnd w:id="18"/>
    <w:bookmarkStart w:id="19" w:name="真实性小结"/>
    <w:p>
      <w:pPr>
        <w:pStyle w:val="Heading4"/>
      </w:pPr>
      <w:r>
        <w:rPr>
          <w:rFonts w:hint="eastAsia"/>
        </w:rPr>
        <w:t xml:space="preserve">真实性小结</w:t>
      </w:r>
    </w:p>
    <w:p>
      <w:pPr>
        <w:pStyle w:val="FirstParagraph"/>
      </w:pPr>
      <w:r>
        <w:rPr>
          <w:rFonts w:hint="eastAsia"/>
        </w:rPr>
        <w:t xml:space="preserve">DAPA-HF研究在随机化、分配隐藏、双盲、基线可比、失访控制和ITT分析各维度均达到高质量RCT标准，</w:t>
      </w:r>
      <w:r>
        <w:rPr>
          <w:rFonts w:hint="eastAsia"/>
          <w:b/>
          <w:bCs/>
        </w:rPr>
        <w:t xml:space="preserve">内部真实性强，结果可信</w:t>
      </w:r>
      <w:r>
        <w:t xml:space="preserve">。</w:t>
      </w:r>
    </w:p>
    <w:p>
      <w:r>
        <w:pict>
          <v:rect style="width:0;height:1.5pt" o:hralign="center" o:hrstd="t" o:hr="t"/>
        </w:pict>
      </w:r>
    </w:p>
    <w:bookmarkEnd w:id="19"/>
    <w:bookmarkEnd w:id="20"/>
    <w:bookmarkStart w:id="24" w:name="二重要性评价importance"/>
    <w:p>
      <w:pPr>
        <w:pStyle w:val="Heading3"/>
      </w:pPr>
      <w:r>
        <w:rPr>
          <w:rFonts w:hint="eastAsia"/>
        </w:rPr>
        <w:t xml:space="preserve">（二）重要性评价（Importance）</w:t>
      </w:r>
    </w:p>
    <w:p>
      <w:pPr>
        <w:pStyle w:val="FirstParagraph"/>
      </w:pPr>
      <w:r>
        <w:rPr>
          <w:rFonts w:hint="eastAsia"/>
        </w:rPr>
        <w:t xml:space="preserve">重要性评价关注研究结果的临床意义，包括效应大小和精确度。</w:t>
      </w:r>
    </w:p>
    <w:bookmarkStart w:id="21" w:name="主要复合终点心衰恶化心血管死亡"/>
    <w:p>
      <w:pPr>
        <w:pStyle w:val="Heading4"/>
      </w:pPr>
      <w:r>
        <w:t xml:space="preserve">1. </w:t>
      </w:r>
      <w:r>
        <w:rPr>
          <w:rFonts w:hint="eastAsia"/>
        </w:rPr>
        <w:t xml:space="preserve">主要复合终点（心衰恶化+心血管死亡）</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结局</w:t>
            </w:r>
          </w:p>
        </w:tc>
        <w:tc>
          <w:tcPr/>
          <w:p>
            <w:pPr>
              <w:pStyle w:val="Compact"/>
              <w:jc w:val="center"/>
            </w:pPr>
            <w:r>
              <w:rPr>
                <w:rFonts w:hint="eastAsia"/>
              </w:rPr>
              <w:t xml:space="preserve">达格列净组</w:t>
            </w:r>
          </w:p>
        </w:tc>
        <w:tc>
          <w:tcPr/>
          <w:p>
            <w:pPr>
              <w:pStyle w:val="Compact"/>
              <w:jc w:val="center"/>
            </w:pPr>
            <w:r>
              <w:rPr>
                <w:rFonts w:hint="eastAsia"/>
              </w:rPr>
              <w:t xml:space="preserve">安慰剂组</w:t>
            </w:r>
          </w:p>
        </w:tc>
        <w:tc>
          <w:tcPr/>
          <w:p>
            <w:pPr>
              <w:pStyle w:val="Compact"/>
              <w:jc w:val="center"/>
            </w:pPr>
            <w:r>
              <w:rPr>
                <w:rFonts w:hint="eastAsia"/>
              </w:rPr>
              <w:t xml:space="preserve">HR（95%</w:t>
            </w:r>
            <w:r>
              <w:t xml:space="preserve"> </w:t>
            </w:r>
            <w:r>
              <w:rPr>
                <w:rFonts w:hint="eastAsia"/>
              </w:rPr>
              <w:t xml:space="preserve">CI）</w:t>
            </w:r>
          </w:p>
        </w:tc>
        <w:tc>
          <w:tcPr/>
          <w:p>
            <w:pPr>
              <w:pStyle w:val="Compact"/>
              <w:jc w:val="center"/>
            </w:pPr>
            <w:r>
              <w:rPr>
                <w:rFonts w:hint="eastAsia"/>
              </w:rPr>
              <w:t xml:space="preserve">P值</w:t>
            </w:r>
          </w:p>
        </w:tc>
      </w:tr>
      <w:tr>
        <w:tc>
          <w:tcPr/>
          <w:p>
            <w:pPr>
              <w:pStyle w:val="Compact"/>
              <w:jc w:val="left"/>
            </w:pPr>
            <w:r>
              <w:rPr>
                <w:rFonts w:hint="eastAsia"/>
                <w:b/>
                <w:bCs/>
              </w:rPr>
              <w:t xml:space="preserve">主要复合终点</w:t>
            </w:r>
          </w:p>
        </w:tc>
        <w:tc>
          <w:tcPr/>
          <w:p>
            <w:pPr>
              <w:pStyle w:val="Compact"/>
              <w:jc w:val="center"/>
            </w:pPr>
            <w:r>
              <w:rPr>
                <w:rFonts w:hint="eastAsia"/>
                <w:b/>
                <w:bCs/>
              </w:rPr>
              <w:t xml:space="preserve">386/2373（16.3%）</w:t>
            </w:r>
          </w:p>
        </w:tc>
        <w:tc>
          <w:tcPr/>
          <w:p>
            <w:pPr>
              <w:pStyle w:val="Compact"/>
              <w:jc w:val="center"/>
            </w:pPr>
            <w:r>
              <w:rPr>
                <w:rFonts w:hint="eastAsia"/>
                <w:b/>
                <w:bCs/>
              </w:rPr>
              <w:t xml:space="preserve">502/2371（21.2%）</w:t>
            </w:r>
          </w:p>
        </w:tc>
        <w:tc>
          <w:tcPr/>
          <w:p>
            <w:pPr>
              <w:pStyle w:val="Compact"/>
              <w:jc w:val="center"/>
            </w:pPr>
            <w:r>
              <w:rPr>
                <w:rFonts w:hint="eastAsia"/>
                <w:b/>
                <w:bCs/>
              </w:rPr>
              <w:t xml:space="preserve">0.74（0.65-0.85）</w:t>
            </w:r>
          </w:p>
        </w:tc>
        <w:tc>
          <w:tcPr/>
          <w:p>
            <w:pPr>
              <w:pStyle w:val="Compact"/>
              <w:jc w:val="center"/>
            </w:pPr>
            <w:r>
              <w:rPr>
                <w:b/>
                <w:bCs/>
              </w:rPr>
              <w:t xml:space="preserve">&lt;0.001</w:t>
            </w:r>
          </w:p>
        </w:tc>
      </w:tr>
      <w:tr>
        <w:tc>
          <w:tcPr/>
          <w:p>
            <w:pPr>
              <w:pStyle w:val="Compact"/>
              <w:jc w:val="left"/>
            </w:pPr>
            <w:r>
              <w:rPr>
                <w:rFonts w:hint="eastAsia"/>
              </w:rPr>
              <w:t xml:space="preserve">心衰恶化事件</w:t>
            </w:r>
          </w:p>
        </w:tc>
        <w:tc>
          <w:tcPr/>
          <w:p>
            <w:pPr>
              <w:pStyle w:val="Compact"/>
              <w:jc w:val="center"/>
            </w:pPr>
            <w:r>
              <w:rPr>
                <w:rFonts w:hint="eastAsia"/>
              </w:rPr>
              <w:t xml:space="preserve">237/2373（10.0%）</w:t>
            </w:r>
          </w:p>
        </w:tc>
        <w:tc>
          <w:tcPr/>
          <w:p>
            <w:pPr>
              <w:pStyle w:val="Compact"/>
              <w:jc w:val="center"/>
            </w:pPr>
            <w:r>
              <w:rPr>
                <w:rFonts w:hint="eastAsia"/>
              </w:rPr>
              <w:t xml:space="preserve">294/2371（12.4%）</w:t>
            </w:r>
          </w:p>
        </w:tc>
        <w:tc>
          <w:tcPr/>
          <w:p>
            <w:pPr>
              <w:pStyle w:val="Compact"/>
              <w:jc w:val="center"/>
            </w:pPr>
            <w:r>
              <w:rPr>
                <w:rFonts w:hint="eastAsia"/>
              </w:rPr>
              <w:t xml:space="preserve">0.70（0.59-0.83）</w:t>
            </w:r>
          </w:p>
        </w:tc>
        <w:tc>
          <w:tcPr/>
          <w:p>
            <w:pPr>
              <w:pStyle w:val="Compact"/>
              <w:jc w:val="center"/>
            </w:pPr>
            <w:r>
              <w:t xml:space="preserve">&lt;0.001</w:t>
            </w:r>
          </w:p>
        </w:tc>
      </w:tr>
      <w:tr>
        <w:tc>
          <w:tcPr/>
          <w:p>
            <w:pPr>
              <w:pStyle w:val="Compact"/>
              <w:jc w:val="left"/>
            </w:pPr>
            <w:r>
              <w:rPr>
                <w:rFonts w:hint="eastAsia"/>
              </w:rPr>
              <w:t xml:space="preserve">心血管死亡</w:t>
            </w:r>
          </w:p>
        </w:tc>
        <w:tc>
          <w:tcPr/>
          <w:p>
            <w:pPr>
              <w:pStyle w:val="Compact"/>
              <w:jc w:val="center"/>
            </w:pPr>
            <w:r>
              <w:rPr>
                <w:rFonts w:hint="eastAsia"/>
              </w:rPr>
              <w:t xml:space="preserve">227/2373（9.6%）</w:t>
            </w:r>
          </w:p>
        </w:tc>
        <w:tc>
          <w:tcPr/>
          <w:p>
            <w:pPr>
              <w:pStyle w:val="Compact"/>
              <w:jc w:val="center"/>
            </w:pPr>
            <w:r>
              <w:rPr>
                <w:rFonts w:hint="eastAsia"/>
              </w:rPr>
              <w:t xml:space="preserve">276/2371（11.6%）</w:t>
            </w:r>
          </w:p>
        </w:tc>
        <w:tc>
          <w:tcPr/>
          <w:p>
            <w:pPr>
              <w:pStyle w:val="Compact"/>
              <w:jc w:val="center"/>
            </w:pPr>
            <w:r>
              <w:rPr>
                <w:rFonts w:hint="eastAsia"/>
              </w:rPr>
              <w:t xml:space="preserve">0.82（0.69-0.98）</w:t>
            </w:r>
          </w:p>
        </w:tc>
        <w:tc>
          <w:tcPr/>
          <w:p>
            <w:pPr>
              <w:pStyle w:val="Compact"/>
              <w:jc w:val="center"/>
            </w:pPr>
            <w:r>
              <w:t xml:space="preserve">0.029</w:t>
            </w:r>
          </w:p>
        </w:tc>
      </w:tr>
    </w:tbl>
    <w:p>
      <w:pPr>
        <w:pStyle w:val="BodyText"/>
      </w:pPr>
      <w:r>
        <w:rPr>
          <w:rFonts w:hint="eastAsia"/>
          <w:b/>
          <w:bCs/>
        </w:rPr>
        <w:t xml:space="preserve">效应量计算（以主要复合终点为例）：</w:t>
      </w:r>
    </w:p>
    <w:p>
      <w:pPr>
        <w:pStyle w:val="BodyText"/>
      </w:pPr>
      <m:oMathPara>
        <m:oMathParaPr>
          <m:jc m:val="center"/>
        </m:oMathParaPr>
        <m:oMath>
          <m:r>
            <m:rPr>
              <m:nor/>
              <m:sty m:val="p"/>
            </m:rPr>
            <m:t>相对危险度（RR）</m:t>
          </m:r>
          <m:r>
            <m:rPr>
              <m:sty m:val="p"/>
            </m:rPr>
            <m:t>=</m:t>
          </m:r>
          <m:f>
            <m:fPr>
              <m:type m:val="bar"/>
            </m:fPr>
            <m:num>
              <m:r>
                <m:t>16.3</m:t>
              </m:r>
              <m:r>
                <m:rPr>
                  <m:sty m:val="p"/>
                </m:rPr>
                <m:t>%</m:t>
              </m:r>
            </m:num>
            <m:den>
              <m:r>
                <m:t>21.2</m:t>
              </m:r>
              <m:r>
                <m:rPr>
                  <m:sty m:val="p"/>
                </m:rPr>
                <m:t>%</m:t>
              </m:r>
            </m:den>
          </m:f>
          <m:r>
            <m:rPr>
              <m:sty m:val="p"/>
            </m:rPr>
            <m:t>=</m:t>
          </m:r>
          <m:r>
            <m:t>0.769</m:t>
          </m:r>
        </m:oMath>
      </m:oMathPara>
    </w:p>
    <w:p>
      <w:pPr>
        <w:pStyle w:val="FirstParagraph"/>
      </w:pPr>
      <m:oMathPara>
        <m:oMathParaPr>
          <m:jc m:val="center"/>
        </m:oMathParaPr>
        <m:oMath>
          <m:r>
            <m:rPr>
              <m:nor/>
              <m:sty m:val="p"/>
            </m:rPr>
            <m:t>相对危险降低（RRR）</m:t>
          </m:r>
          <m:r>
            <m:rPr>
              <m:sty m:val="p"/>
            </m:rPr>
            <m:t>=</m:t>
          </m:r>
          <m:r>
            <m:t>1</m:t>
          </m:r>
          <m:r>
            <m:rPr>
              <m:sty m:val="p"/>
            </m:rPr>
            <m:t>−</m:t>
          </m:r>
          <m:r>
            <m:t>0.74</m:t>
          </m:r>
          <m:r>
            <m:rPr>
              <m:sty m:val="p"/>
            </m:rPr>
            <m:t>=</m:t>
          </m:r>
          <m:r>
            <m:t>26</m:t>
          </m:r>
          <m:r>
            <m:rPr>
              <m:sty m:val="p"/>
            </m:rPr>
            <m:t>%</m:t>
          </m:r>
        </m:oMath>
      </m:oMathPara>
    </w:p>
    <w:p>
      <w:pPr>
        <w:pStyle w:val="FirstParagraph"/>
      </w:pPr>
      <m:oMathPara>
        <m:oMathParaPr>
          <m:jc m:val="center"/>
        </m:oMathParaPr>
        <m:oMath>
          <m:r>
            <m:rPr>
              <m:nor/>
              <m:sty m:val="p"/>
            </m:rPr>
            <m:t>绝对危险降低（ARR）</m:t>
          </m:r>
          <m:r>
            <m:rPr>
              <m:sty m:val="p"/>
            </m:rPr>
            <m:t>=</m:t>
          </m:r>
          <m:r>
            <m:t>21.2</m:t>
          </m:r>
          <m:r>
            <m:rPr>
              <m:sty m:val="p"/>
            </m:rPr>
            <m:t>%</m:t>
          </m:r>
          <m:r>
            <m:rPr>
              <m:sty m:val="p"/>
            </m:rPr>
            <m:t>−</m:t>
          </m:r>
          <m:r>
            <m:t>16.3</m:t>
          </m:r>
          <m:r>
            <m:rPr>
              <m:sty m:val="p"/>
            </m:rPr>
            <m:t>%</m:t>
          </m:r>
          <m:r>
            <m:rPr>
              <m:sty m:val="p"/>
            </m:rPr>
            <m:t>=</m:t>
          </m:r>
          <m:r>
            <m:t>4.9</m:t>
          </m:r>
          <m:r>
            <m:rPr>
              <m:sty m:val="p"/>
            </m:rPr>
            <m:t>%</m:t>
          </m:r>
        </m:oMath>
      </m:oMathPara>
    </w:p>
    <w:p>
      <w:pPr>
        <w:pStyle w:val="FirstParagraph"/>
      </w:pPr>
      <m:oMathPara>
        <m:oMathParaPr>
          <m:jc m:val="center"/>
        </m:oMathParaPr>
        <m:oMath>
          <m:r>
            <m:rPr>
              <m:nor/>
              <m:sty m:val="p"/>
            </m:rPr>
            <m:t>需治疗人数（NNT）</m:t>
          </m:r>
          <m:r>
            <m:rPr>
              <m:sty m:val="p"/>
            </m:rPr>
            <m:t>=</m:t>
          </m:r>
          <m:f>
            <m:fPr>
              <m:type m:val="bar"/>
            </m:fPr>
            <m:num>
              <m:r>
                <m:t>1</m:t>
              </m:r>
            </m:num>
            <m:den>
              <m:r>
                <m:t>A</m:t>
              </m:r>
              <m:r>
                <m:t>R</m:t>
              </m:r>
              <m:r>
                <m:t>R</m:t>
              </m:r>
            </m:den>
          </m:f>
          <m:r>
            <m:rPr>
              <m:sty m:val="p"/>
            </m:rPr>
            <m:t>=</m:t>
          </m:r>
          <m:f>
            <m:fPr>
              <m:type m:val="bar"/>
            </m:fPr>
            <m:num>
              <m:r>
                <m:t>1</m:t>
              </m:r>
            </m:num>
            <m:den>
              <m:r>
                <m:t>0.049</m:t>
              </m:r>
            </m:den>
          </m:f>
          <m:r>
            <m:rPr>
              <m:sty m:val="p"/>
            </m:rPr>
            <m:t>≈</m:t>
          </m:r>
          <m:r>
            <m:t>21</m:t>
          </m:r>
        </m:oMath>
      </m:oMathPara>
    </w:p>
    <w:p>
      <w:pPr>
        <w:pStyle w:val="FirstParagraph"/>
      </w:pPr>
      <w:r>
        <w:rPr>
          <w:rFonts w:hint="eastAsia"/>
          <w:b/>
          <w:bCs/>
        </w:rPr>
        <w:t xml:space="preserve">解读：</w:t>
      </w:r>
      <w:r>
        <w:t xml:space="preserve"> </w:t>
      </w:r>
      <w:r>
        <w:rPr>
          <w:rFonts w:hint="eastAsia"/>
        </w:rPr>
        <w:t xml:space="preserve">在约18个月随访期内，每治疗约21名HFrEF患者，可额外预防1例主要心血管事件（心衰再住院或心血管死亡）。</w:t>
      </w:r>
    </w:p>
    <w:bookmarkEnd w:id="21"/>
    <w:bookmarkStart w:id="22" w:name="次要及探索性结局"/>
    <w:p>
      <w:pPr>
        <w:pStyle w:val="Heading4"/>
      </w:pPr>
      <w:r>
        <w:t xml:space="preserve">2. </w:t>
      </w:r>
      <w:r>
        <w:rPr>
          <w:rFonts w:hint="eastAsia"/>
        </w:rPr>
        <w:t xml:space="preserve">次要及探索性结局</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rPr>
                <w:rFonts w:hint="eastAsia"/>
              </w:rPr>
              <w:t xml:space="preserve">结局</w:t>
            </w:r>
          </w:p>
        </w:tc>
        <w:tc>
          <w:tcPr/>
          <w:p>
            <w:pPr>
              <w:pStyle w:val="Compact"/>
              <w:jc w:val="left"/>
            </w:pPr>
            <w:r>
              <w:rPr>
                <w:rFonts w:hint="eastAsia"/>
              </w:rPr>
              <w:t xml:space="preserve">达格列净</w:t>
            </w:r>
            <w:r>
              <w:t xml:space="preserve"> vs </w:t>
            </w:r>
            <w:r>
              <w:rPr>
                <w:rFonts w:hint="eastAsia"/>
              </w:rPr>
              <w:t xml:space="preserve">安慰剂</w:t>
            </w:r>
          </w:p>
        </w:tc>
        <w:tc>
          <w:tcPr/>
          <w:p>
            <w:pPr>
              <w:pStyle w:val="Compact"/>
              <w:jc w:val="center"/>
            </w:pPr>
            <w:r>
              <w:rPr>
                <w:rFonts w:hint="eastAsia"/>
              </w:rPr>
              <w:t xml:space="preserve">HR/OR（95%</w:t>
            </w:r>
            <w:r>
              <w:t xml:space="preserve"> </w:t>
            </w:r>
            <w:r>
              <w:rPr>
                <w:rFonts w:hint="eastAsia"/>
              </w:rPr>
              <w:t xml:space="preserve">CI）</w:t>
            </w:r>
          </w:p>
        </w:tc>
        <w:tc>
          <w:tcPr/>
          <w:p>
            <w:pPr>
              <w:pStyle w:val="Compact"/>
              <w:jc w:val="center"/>
            </w:pPr>
            <w:r>
              <w:rPr>
                <w:rFonts w:hint="eastAsia"/>
              </w:rPr>
              <w:t xml:space="preserve">P值</w:t>
            </w:r>
          </w:p>
        </w:tc>
      </w:tr>
      <w:tr>
        <w:tc>
          <w:tcPr/>
          <w:p>
            <w:pPr>
              <w:pStyle w:val="Compact"/>
              <w:jc w:val="left"/>
            </w:pPr>
            <w:r>
              <w:rPr>
                <w:rFonts w:hint="eastAsia"/>
              </w:rPr>
              <w:t xml:space="preserve">全因死亡</w:t>
            </w:r>
          </w:p>
        </w:tc>
        <w:tc>
          <w:tcPr/>
          <w:p>
            <w:pPr>
              <w:pStyle w:val="Compact"/>
              <w:jc w:val="left"/>
            </w:pPr>
            <w:r>
              <w:t xml:space="preserve">276 vs 329</w:t>
            </w:r>
          </w:p>
        </w:tc>
        <w:tc>
          <w:tcPr/>
          <w:p>
            <w:pPr>
              <w:pStyle w:val="Compact"/>
              <w:jc w:val="center"/>
            </w:pPr>
            <w:r>
              <w:rPr>
                <w:rFonts w:hint="eastAsia"/>
              </w:rPr>
              <w:t xml:space="preserve">0.83（0.71-0.97）</w:t>
            </w:r>
          </w:p>
        </w:tc>
        <w:tc>
          <w:tcPr/>
          <w:p>
            <w:pPr>
              <w:pStyle w:val="Compact"/>
              <w:jc w:val="center"/>
            </w:pPr>
            <w:r>
              <w:t xml:space="preserve">0.022</w:t>
            </w:r>
          </w:p>
        </w:tc>
      </w:tr>
      <w:tr>
        <w:tc>
          <w:tcPr/>
          <w:p>
            <w:pPr>
              <w:pStyle w:val="Compact"/>
              <w:jc w:val="left"/>
            </w:pPr>
            <w:r>
              <w:rPr>
                <w:rFonts w:hint="eastAsia"/>
              </w:rPr>
              <w:t xml:space="preserve">首次心衰住院</w:t>
            </w:r>
          </w:p>
        </w:tc>
        <w:tc>
          <w:tcPr/>
          <w:p>
            <w:pPr>
              <w:pStyle w:val="Compact"/>
              <w:jc w:val="left"/>
            </w:pPr>
            <w:r>
              <w:t xml:space="preserve">-</w:t>
            </w:r>
          </w:p>
        </w:tc>
        <w:tc>
          <w:tcPr/>
          <w:p>
            <w:pPr>
              <w:pStyle w:val="Compact"/>
              <w:jc w:val="center"/>
            </w:pPr>
            <w:r>
              <w:rPr>
                <w:rFonts w:hint="eastAsia"/>
              </w:rPr>
              <w:t xml:space="preserve">0.70（0.59-0.83）</w:t>
            </w:r>
          </w:p>
        </w:tc>
        <w:tc>
          <w:tcPr/>
          <w:p>
            <w:pPr>
              <w:pStyle w:val="Compact"/>
              <w:jc w:val="center"/>
            </w:pPr>
            <w:r>
              <w:t xml:space="preserve">&lt;0.001</w:t>
            </w:r>
          </w:p>
        </w:tc>
      </w:tr>
      <w:tr>
        <w:tc>
          <w:tcPr/>
          <w:p>
            <w:pPr>
              <w:pStyle w:val="Compact"/>
              <w:jc w:val="left"/>
            </w:pPr>
            <w:r>
              <w:rPr>
                <w:rFonts w:hint="eastAsia"/>
              </w:rPr>
              <w:t xml:space="preserve">全因住院</w:t>
            </w:r>
          </w:p>
        </w:tc>
        <w:tc>
          <w:tcPr/>
          <w:p>
            <w:pPr>
              <w:pStyle w:val="Compact"/>
              <w:jc w:val="left"/>
            </w:pPr>
            <w:r>
              <w:t xml:space="preserve">-</w:t>
            </w:r>
          </w:p>
        </w:tc>
        <w:tc>
          <w:tcPr/>
          <w:p>
            <w:pPr>
              <w:pStyle w:val="Compact"/>
              <w:jc w:val="center"/>
            </w:pPr>
            <w:r>
              <w:rPr>
                <w:rFonts w:hint="eastAsia"/>
              </w:rPr>
              <w:t xml:space="preserve">0.89（0.82-0.97）</w:t>
            </w:r>
          </w:p>
        </w:tc>
        <w:tc>
          <w:tcPr/>
          <w:p>
            <w:pPr>
              <w:pStyle w:val="Compact"/>
              <w:jc w:val="center"/>
            </w:pPr>
            <w:r>
              <w:t xml:space="preserve">0.007</w:t>
            </w:r>
          </w:p>
        </w:tc>
      </w:tr>
      <w:tr>
        <w:tc>
          <w:tcPr/>
          <w:p>
            <w:pPr>
              <w:pStyle w:val="Compact"/>
              <w:jc w:val="left"/>
            </w:pPr>
            <w:r>
              <w:rPr>
                <w:rFonts w:hint="eastAsia"/>
              </w:rPr>
              <w:t xml:space="preserve">KCCQ（生活质量评分）改善≥5分</w:t>
            </w:r>
          </w:p>
        </w:tc>
        <w:tc>
          <w:tcPr/>
          <w:p>
            <w:pPr>
              <w:pStyle w:val="Compact"/>
              <w:jc w:val="left"/>
            </w:pPr>
            <w:r>
              <w:t xml:space="preserve">58.3% vs 50.9%</w:t>
            </w:r>
          </w:p>
        </w:tc>
        <w:tc>
          <w:tcPr/>
          <w:p>
            <w:pPr>
              <w:pStyle w:val="Compact"/>
              <w:jc w:val="center"/>
            </w:pPr>
            <w:r>
              <w:t xml:space="preserve">OR </w:t>
            </w:r>
            <w:r>
              <w:rPr>
                <w:rFonts w:hint="eastAsia"/>
              </w:rPr>
              <w:t xml:space="preserve">1.15（1.08-1.22）</w:t>
            </w:r>
          </w:p>
        </w:tc>
        <w:tc>
          <w:tcPr/>
          <w:p>
            <w:pPr>
              <w:pStyle w:val="Compact"/>
              <w:jc w:val="center"/>
            </w:pPr>
            <w:r>
              <w:t xml:space="preserve">&lt;0.001</w:t>
            </w:r>
          </w:p>
        </w:tc>
      </w:tr>
      <w:tr>
        <w:tc>
          <w:tcPr/>
          <w:p>
            <w:pPr>
              <w:pStyle w:val="Compact"/>
              <w:jc w:val="left"/>
            </w:pPr>
            <w:r>
              <w:rPr>
                <w:rFonts w:hint="eastAsia"/>
              </w:rPr>
              <w:t xml:space="preserve">eGFR下降斜率（mL/min/1.73m²/年）</w:t>
            </w:r>
          </w:p>
        </w:tc>
        <w:tc>
          <w:tcPr/>
          <w:p>
            <w:pPr>
              <w:pStyle w:val="Compact"/>
              <w:jc w:val="left"/>
            </w:pPr>
            <w:r>
              <w:rPr>
                <w:rFonts w:hint="eastAsia"/>
              </w:rPr>
              <w:t xml:space="preserve">减缓2.95</w:t>
            </w:r>
          </w:p>
        </w:tc>
        <w:tc>
          <w:tcPr/>
          <w:p>
            <w:pPr>
              <w:pStyle w:val="Compact"/>
              <w:jc w:val="center"/>
            </w:pPr>
            <w:r>
              <w:t xml:space="preserve">-</w:t>
            </w:r>
          </w:p>
        </w:tc>
        <w:tc>
          <w:tcPr/>
          <w:p>
            <w:pPr>
              <w:pStyle w:val="Compact"/>
              <w:jc w:val="center"/>
            </w:pPr>
            <w:r>
              <w:t xml:space="preserve">&lt;0.001</w:t>
            </w:r>
          </w:p>
        </w:tc>
      </w:tr>
    </w:tbl>
    <w:p>
      <w:pPr>
        <w:pStyle w:val="BodyText"/>
      </w:pPr>
      <w:r>
        <w:rPr>
          <w:rFonts w:hint="eastAsia"/>
          <w:b/>
          <w:bCs/>
        </w:rPr>
        <w:t xml:space="preserve">解读：</w:t>
      </w:r>
      <w:r>
        <w:t xml:space="preserve"> </w:t>
      </w:r>
      <w:r>
        <w:t xml:space="preserve">- </w:t>
      </w:r>
      <w:r>
        <w:rPr>
          <w:rFonts w:hint="eastAsia"/>
        </w:rPr>
        <w:t xml:space="preserve">全因死亡率显著降低（HR</w:t>
      </w:r>
      <w:r>
        <w:t xml:space="preserve"> </w:t>
      </w:r>
      <w:r>
        <w:rPr>
          <w:rFonts w:hint="eastAsia"/>
        </w:rPr>
        <w:t xml:space="preserve">0.83），提示不仅降低心血管死亡，还有超越心血管终点的生存获益。</w:t>
      </w:r>
      <w:r>
        <w:t xml:space="preserve"> </w:t>
      </w:r>
      <w:r>
        <w:t xml:space="preserve">- </w:t>
      </w:r>
      <w:r>
        <w:rPr>
          <w:rFonts w:hint="eastAsia"/>
        </w:rPr>
        <w:t xml:space="preserve">生活质量（KCCQ评分）显著改善，具有重要患者报告结局意义。</w:t>
      </w:r>
      <w:r>
        <w:t xml:space="preserve"> </w:t>
      </w:r>
      <w:r>
        <w:t xml:space="preserve">- </w:t>
      </w:r>
      <w:r>
        <w:rPr>
          <w:rFonts w:hint="eastAsia"/>
        </w:rPr>
        <w:t xml:space="preserve">肾功能保护作用：达格列净组eGFR下降速率更慢，提示兼具肾保护效应。</w:t>
      </w:r>
    </w:p>
    <w:bookmarkEnd w:id="22"/>
    <w:bookmarkStart w:id="23" w:name="亚组分析与一致性"/>
    <w:p>
      <w:pPr>
        <w:pStyle w:val="Heading4"/>
      </w:pPr>
      <w:r>
        <w:t xml:space="preserve">3. </w:t>
      </w:r>
      <w:r>
        <w:rPr>
          <w:rFonts w:hint="eastAsia"/>
        </w:rPr>
        <w:t xml:space="preserve">亚组分析与一致性</w:t>
      </w:r>
    </w:p>
    <w:p>
      <w:pPr>
        <w:pStyle w:val="FirstParagraph"/>
      </w:pPr>
      <w:r>
        <w:rPr>
          <w:rFonts w:hint="eastAsia"/>
        </w:rPr>
        <w:t xml:space="preserve">在预设亚组分析中，达格列净的获益在以下亚组间具有一致性（交互检验P均&gt;0.05）：</w:t>
      </w:r>
      <w:r>
        <w:t xml:space="preserve"> </w:t>
      </w:r>
      <w:r>
        <w:t xml:space="preserve">-</w:t>
      </w:r>
      <w:r>
        <w:t xml:space="preserve"> </w:t>
      </w:r>
      <w:r>
        <w:rPr>
          <w:b/>
          <w:bCs/>
        </w:rPr>
        <w:t xml:space="preserve">T2DM vs </w:t>
      </w:r>
      <w:r>
        <w:rPr>
          <w:rFonts w:hint="eastAsia"/>
          <w:b/>
          <w:bCs/>
        </w:rPr>
        <w:t xml:space="preserve">非T2DM：</w:t>
      </w:r>
      <w:r>
        <w:t xml:space="preserve"> </w:t>
      </w:r>
      <w:r>
        <w:t xml:space="preserve">HR 0.75 vs </w:t>
      </w:r>
      <w:r>
        <w:rPr>
          <w:rFonts w:hint="eastAsia"/>
        </w:rPr>
        <w:t xml:space="preserve">0.73（p交互=0.80）——</w:t>
      </w:r>
      <w:r>
        <w:t xml:space="preserve"> </w:t>
      </w:r>
      <w:r>
        <w:rPr>
          <w:rFonts w:hint="eastAsia"/>
          <w:b/>
          <w:bCs/>
        </w:rPr>
        <w:t xml:space="preserve">获益与糖尿病状态无关</w:t>
      </w:r>
      <w:r>
        <w:rPr>
          <w:rFonts w:hint="eastAsia"/>
        </w:rPr>
        <w:t xml:space="preserve">，对于非糖尿病HFrEF患者同样有效。</w:t>
      </w:r>
      <w:r>
        <w:t xml:space="preserve"> </w:t>
      </w:r>
      <w:r>
        <w:t xml:space="preserve">- </w:t>
      </w:r>
      <w:r>
        <w:rPr>
          <w:rFonts w:hint="eastAsia"/>
        </w:rPr>
        <w:t xml:space="preserve">不同NYHA分级（Ⅱ</w:t>
      </w:r>
      <w:r>
        <w:t xml:space="preserve"> vs </w:t>
      </w:r>
      <w:r>
        <w:rPr>
          <w:rFonts w:hint="eastAsia"/>
        </w:rPr>
        <w:t xml:space="preserve">Ⅲ/Ⅳ）：一致获益。</w:t>
      </w:r>
      <w:r>
        <w:t xml:space="preserve"> </w:t>
      </w:r>
      <w:r>
        <w:t xml:space="preserve">- </w:t>
      </w:r>
      <w:r>
        <w:rPr>
          <w:rFonts w:hint="eastAsia"/>
        </w:rPr>
        <w:t xml:space="preserve">不同背景治疗（ARNI</w:t>
      </w:r>
      <w:r>
        <w:t xml:space="preserve"> vs </w:t>
      </w:r>
      <w:r>
        <w:rPr>
          <w:rFonts w:hint="eastAsia"/>
        </w:rPr>
        <w:t xml:space="preserve">ACEi/ARB）：一致获益。</w:t>
      </w:r>
      <w:r>
        <w:t xml:space="preserve"> </w:t>
      </w:r>
      <w:r>
        <w:t xml:space="preserve">- </w:t>
      </w:r>
      <w:r>
        <w:rPr>
          <w:rFonts w:hint="eastAsia"/>
        </w:rPr>
        <w:t xml:space="preserve">不同LVEF亚组（≤25%</w:t>
      </w:r>
      <w:r>
        <w:t xml:space="preserve"> vs </w:t>
      </w:r>
      <w:r>
        <w:rPr>
          <w:rFonts w:hint="eastAsia"/>
        </w:rPr>
        <w:t xml:space="preserve">&gt;25%-≤40%）：一致获益。</w:t>
      </w:r>
    </w:p>
    <w:p>
      <w:pPr>
        <w:pStyle w:val="BodyText"/>
      </w:pPr>
      <w:r>
        <w:rPr>
          <w:rFonts w:hint="eastAsia"/>
          <w:b/>
          <w:bCs/>
        </w:rPr>
        <w:t xml:space="preserve">重要性小结：</w:t>
      </w:r>
      <w:r>
        <w:t xml:space="preserve"> </w:t>
      </w:r>
      <w:r>
        <w:rPr>
          <w:rFonts w:hint="eastAsia"/>
        </w:rPr>
        <w:t xml:space="preserve">DAPA-HF研究显示达格列净具有</w:t>
      </w:r>
      <w:r>
        <w:rPr>
          <w:rFonts w:hint="eastAsia"/>
          <w:b/>
          <w:bCs/>
        </w:rPr>
        <w:t xml:space="preserve">统计学显著且临床有意义</w:t>
      </w:r>
      <w:r>
        <w:rPr>
          <w:rFonts w:hint="eastAsia"/>
        </w:rPr>
        <w:t xml:space="preserve">的获益（RRR</w:t>
      </w:r>
      <w:r>
        <w:t xml:space="preserve"> </w:t>
      </w:r>
      <w:r>
        <w:rPr>
          <w:rFonts w:hint="eastAsia"/>
        </w:rPr>
        <w:t xml:space="preserve">26%，NNT≈21），效应估计精确（95%</w:t>
      </w:r>
      <w:r>
        <w:t xml:space="preserve"> </w:t>
      </w:r>
      <w:r>
        <w:rPr>
          <w:rFonts w:hint="eastAsia"/>
        </w:rPr>
        <w:t xml:space="preserve">CI窄，置信区间不跨1），亚组获益一致，</w:t>
      </w:r>
      <w:r>
        <w:rPr>
          <w:rFonts w:hint="eastAsia"/>
          <w:b/>
          <w:bCs/>
        </w:rPr>
        <w:t xml:space="preserve">临床重要性充分</w:t>
      </w:r>
      <w:r>
        <w:t xml:space="preserve">。</w:t>
      </w:r>
    </w:p>
    <w:p>
      <w:r>
        <w:pict>
          <v:rect style="width:0;height:1.5pt" o:hralign="center" o:hrstd="t" o:hr="t"/>
        </w:pict>
      </w:r>
    </w:p>
    <w:bookmarkEnd w:id="23"/>
    <w:bookmarkEnd w:id="24"/>
    <w:bookmarkStart w:id="30" w:name="三适用性评价applicability"/>
    <w:p>
      <w:pPr>
        <w:pStyle w:val="Heading3"/>
      </w:pPr>
      <w:r>
        <w:rPr>
          <w:rFonts w:hint="eastAsia"/>
        </w:rPr>
        <w:t xml:space="preserve">（三）适用性评价（Applicability）</w:t>
      </w:r>
    </w:p>
    <w:p>
      <w:pPr>
        <w:pStyle w:val="FirstParagraph"/>
      </w:pPr>
      <w:r>
        <w:rPr>
          <w:rFonts w:hint="eastAsia"/>
        </w:rPr>
        <w:t xml:space="preserve">适用性评价关注研究结果能否应用于本例患者，即外部效度。</w:t>
      </w:r>
    </w:p>
    <w:bookmarkStart w:id="25" w:name="研究对象与本例患者的相似性"/>
    <w:p>
      <w:pPr>
        <w:pStyle w:val="Heading4"/>
      </w:pPr>
      <w:r>
        <w:t xml:space="preserve">1. </w:t>
      </w:r>
      <w:r>
        <w:rPr>
          <w:rFonts w:hint="eastAsia"/>
        </w:rPr>
        <w:t xml:space="preserve">研究对象与本例患者的相似性</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rPr>
                <w:rFonts w:hint="eastAsia"/>
              </w:rPr>
              <w:t xml:space="preserve">比较维度</w:t>
            </w:r>
          </w:p>
        </w:tc>
        <w:tc>
          <w:tcPr/>
          <w:p>
            <w:pPr>
              <w:pStyle w:val="Compact"/>
              <w:jc w:val="left"/>
            </w:pPr>
            <w:r>
              <w:rPr>
                <w:rFonts w:hint="eastAsia"/>
              </w:rPr>
              <w:t xml:space="preserve">DAPA-HF入选/排除标准</w:t>
            </w:r>
          </w:p>
        </w:tc>
        <w:tc>
          <w:tcPr/>
          <w:p>
            <w:pPr>
              <w:pStyle w:val="Compact"/>
              <w:jc w:val="left"/>
            </w:pPr>
            <w:r>
              <w:rPr>
                <w:rFonts w:hint="eastAsia"/>
              </w:rPr>
              <w:t xml:space="preserve">本例患者特征</w:t>
            </w:r>
          </w:p>
        </w:tc>
        <w:tc>
          <w:tcPr/>
          <w:p>
            <w:pPr>
              <w:pStyle w:val="Compact"/>
              <w:jc w:val="center"/>
            </w:pPr>
            <w:r>
              <w:rPr>
                <w:rFonts w:hint="eastAsia"/>
              </w:rPr>
              <w:t xml:space="preserve">相符？</w:t>
            </w:r>
          </w:p>
        </w:tc>
      </w:tr>
      <w:tr>
        <w:tc>
          <w:tcPr/>
          <w:p>
            <w:pPr>
              <w:pStyle w:val="Compact"/>
              <w:jc w:val="left"/>
            </w:pPr>
            <w:r>
              <w:rPr>
                <w:rFonts w:hint="eastAsia"/>
              </w:rPr>
              <w:t xml:space="preserve">年龄</w:t>
            </w:r>
          </w:p>
        </w:tc>
        <w:tc>
          <w:tcPr/>
          <w:p>
            <w:pPr>
              <w:pStyle w:val="Compact"/>
              <w:jc w:val="left"/>
            </w:pPr>
            <w:r>
              <w:rPr>
                <w:rFonts w:hint="eastAsia"/>
              </w:rPr>
              <w:t xml:space="preserve">≥18岁（均值66岁）</w:t>
            </w:r>
          </w:p>
        </w:tc>
        <w:tc>
          <w:tcPr/>
          <w:p>
            <w:pPr>
              <w:pStyle w:val="Compact"/>
              <w:jc w:val="left"/>
            </w:pPr>
            <w:r>
              <w:rPr>
                <w:rFonts w:hint="eastAsia"/>
              </w:rPr>
              <w:t xml:space="preserve">67岁</w:t>
            </w:r>
          </w:p>
        </w:tc>
        <w:tc>
          <w:tcPr/>
          <w:p>
            <w:pPr>
              <w:pStyle w:val="Compact"/>
              <w:jc w:val="center"/>
            </w:pPr>
            <w:r>
              <w:t xml:space="preserve">✓</w:t>
            </w:r>
          </w:p>
        </w:tc>
      </w:tr>
      <w:tr>
        <w:tc>
          <w:tcPr/>
          <w:p>
            <w:pPr>
              <w:pStyle w:val="Compact"/>
              <w:jc w:val="left"/>
            </w:pPr>
            <w:r>
              <w:t xml:space="preserve">LVEF</w:t>
            </w:r>
          </w:p>
        </w:tc>
        <w:tc>
          <w:tcPr/>
          <w:p>
            <w:pPr>
              <w:pStyle w:val="Compact"/>
              <w:jc w:val="left"/>
            </w:pPr>
            <w:r>
              <w:rPr>
                <w:rFonts w:hint="eastAsia"/>
              </w:rPr>
              <w:t xml:space="preserve">≤40%（均值31%）</w:t>
            </w:r>
          </w:p>
        </w:tc>
        <w:tc>
          <w:tcPr/>
          <w:p>
            <w:pPr>
              <w:pStyle w:val="Compact"/>
              <w:jc w:val="left"/>
            </w:pPr>
            <w:r>
              <w:t xml:space="preserve">32%</w:t>
            </w:r>
          </w:p>
        </w:tc>
        <w:tc>
          <w:tcPr/>
          <w:p>
            <w:pPr>
              <w:pStyle w:val="Compact"/>
              <w:jc w:val="center"/>
            </w:pPr>
            <w:r>
              <w:t xml:space="preserve">✓</w:t>
            </w:r>
          </w:p>
        </w:tc>
      </w:tr>
      <w:tr>
        <w:tc>
          <w:tcPr/>
          <w:p>
            <w:pPr>
              <w:pStyle w:val="Compact"/>
              <w:jc w:val="left"/>
            </w:pPr>
            <w:r>
              <w:rPr>
                <w:rFonts w:hint="eastAsia"/>
              </w:rPr>
              <w:t xml:space="preserve">合并T2DM</w:t>
            </w:r>
          </w:p>
        </w:tc>
        <w:tc>
          <w:tcPr/>
          <w:p>
            <w:pPr>
              <w:pStyle w:val="Compact"/>
              <w:jc w:val="left"/>
            </w:pPr>
            <w:r>
              <w:rPr>
                <w:rFonts w:hint="eastAsia"/>
              </w:rPr>
              <w:t xml:space="preserve">伴或不伴T2DM均入组</w:t>
            </w:r>
          </w:p>
        </w:tc>
        <w:tc>
          <w:tcPr/>
          <w:p>
            <w:pPr>
              <w:pStyle w:val="Compact"/>
              <w:jc w:val="left"/>
            </w:pPr>
            <w:r>
              <w:rPr>
                <w:rFonts w:hint="eastAsia"/>
              </w:rPr>
              <w:t xml:space="preserve">有T2DM</w:t>
            </w:r>
          </w:p>
        </w:tc>
        <w:tc>
          <w:tcPr/>
          <w:p>
            <w:pPr>
              <w:pStyle w:val="Compact"/>
              <w:jc w:val="center"/>
            </w:pPr>
            <w:r>
              <w:t xml:space="preserve">✓</w:t>
            </w:r>
          </w:p>
        </w:tc>
      </w:tr>
      <w:tr>
        <w:tc>
          <w:tcPr/>
          <w:p>
            <w:pPr>
              <w:pStyle w:val="Compact"/>
              <w:jc w:val="left"/>
            </w:pPr>
            <w:r>
              <w:rPr>
                <w:rFonts w:hint="eastAsia"/>
              </w:rPr>
              <w:t xml:space="preserve">NYHA分级</w:t>
            </w:r>
          </w:p>
        </w:tc>
        <w:tc>
          <w:tcPr/>
          <w:p>
            <w:pPr>
              <w:pStyle w:val="Compact"/>
              <w:jc w:val="left"/>
            </w:pPr>
            <w:r>
              <w:rPr>
                <w:rFonts w:hint="eastAsia"/>
              </w:rPr>
              <w:t xml:space="preserve">Ⅱ-Ⅳ级</w:t>
            </w:r>
          </w:p>
        </w:tc>
        <w:tc>
          <w:tcPr/>
          <w:p>
            <w:pPr>
              <w:pStyle w:val="Compact"/>
              <w:jc w:val="left"/>
            </w:pPr>
            <w:r>
              <w:rPr>
                <w:rFonts w:hint="eastAsia"/>
              </w:rPr>
              <w:t xml:space="preserve">Ⅲ级</w:t>
            </w:r>
          </w:p>
        </w:tc>
        <w:tc>
          <w:tcPr/>
          <w:p>
            <w:pPr>
              <w:pStyle w:val="Compact"/>
              <w:jc w:val="center"/>
            </w:pPr>
            <w:r>
              <w:t xml:space="preserve">✓</w:t>
            </w:r>
          </w:p>
        </w:tc>
      </w:tr>
      <w:tr>
        <w:tc>
          <w:tcPr/>
          <w:p>
            <w:pPr>
              <w:pStyle w:val="Compact"/>
              <w:jc w:val="left"/>
            </w:pPr>
            <w:r>
              <w:t xml:space="preserve">BNP/NT-proBNP</w:t>
            </w:r>
          </w:p>
        </w:tc>
        <w:tc>
          <w:tcPr/>
          <w:p>
            <w:pPr>
              <w:pStyle w:val="Compact"/>
              <w:jc w:val="left"/>
            </w:pPr>
            <w:r>
              <w:t xml:space="preserve">NT-proBNP&gt;600 pg/mL</w:t>
            </w:r>
          </w:p>
        </w:tc>
        <w:tc>
          <w:tcPr/>
          <w:p>
            <w:pPr>
              <w:pStyle w:val="Compact"/>
              <w:jc w:val="left"/>
            </w:pPr>
            <w:r>
              <w:t xml:space="preserve">5420 pg/mL</w:t>
            </w:r>
          </w:p>
        </w:tc>
        <w:tc>
          <w:tcPr/>
          <w:p>
            <w:pPr>
              <w:pStyle w:val="Compact"/>
              <w:jc w:val="center"/>
            </w:pPr>
            <w:r>
              <w:t xml:space="preserve">✓</w:t>
            </w:r>
          </w:p>
        </w:tc>
      </w:tr>
      <w:tr>
        <w:tc>
          <w:tcPr/>
          <w:p>
            <w:pPr>
              <w:pStyle w:val="Compact"/>
              <w:jc w:val="left"/>
            </w:pPr>
            <w:r>
              <w:t xml:space="preserve">eGFR</w:t>
            </w:r>
          </w:p>
        </w:tc>
        <w:tc>
          <w:tcPr/>
          <w:p>
            <w:pPr>
              <w:pStyle w:val="Compact"/>
              <w:jc w:val="left"/>
            </w:pPr>
            <w:r>
              <w:t xml:space="preserve">≥25 mL/min/1.73m²</w:t>
            </w:r>
          </w:p>
        </w:tc>
        <w:tc>
          <w:tcPr/>
          <w:p>
            <w:pPr>
              <w:pStyle w:val="Compact"/>
              <w:jc w:val="left"/>
            </w:pPr>
            <w:r>
              <w:t xml:space="preserve">71 mL/min/1.73m²</w:t>
            </w:r>
          </w:p>
        </w:tc>
        <w:tc>
          <w:tcPr/>
          <w:p>
            <w:pPr>
              <w:pStyle w:val="Compact"/>
              <w:jc w:val="center"/>
            </w:pPr>
            <w:r>
              <w:t xml:space="preserve">✓</w:t>
            </w:r>
          </w:p>
        </w:tc>
      </w:tr>
      <w:tr>
        <w:tc>
          <w:tcPr/>
          <w:p>
            <w:pPr>
              <w:pStyle w:val="Compact"/>
              <w:jc w:val="left"/>
            </w:pPr>
            <w:r>
              <w:rPr>
                <w:rFonts w:hint="eastAsia"/>
              </w:rPr>
              <w:t xml:space="preserve">背景治疗</w:t>
            </w:r>
          </w:p>
        </w:tc>
        <w:tc>
          <w:tcPr/>
          <w:p>
            <w:pPr>
              <w:pStyle w:val="Compact"/>
              <w:jc w:val="left"/>
            </w:pPr>
            <w:r>
              <w:rPr>
                <w:rFonts w:hint="eastAsia"/>
              </w:rPr>
              <w:t xml:space="preserve">标准HF治疗（利尿剂稳定剂量≥2周）</w:t>
            </w:r>
          </w:p>
        </w:tc>
        <w:tc>
          <w:tcPr/>
          <w:p>
            <w:pPr>
              <w:pStyle w:val="Compact"/>
              <w:jc w:val="left"/>
            </w:pPr>
            <w:r>
              <w:rPr>
                <w:rFonts w:hint="eastAsia"/>
              </w:rPr>
              <w:t xml:space="preserve">ARNI+β受体阻滞剂+MRA</w:t>
            </w:r>
          </w:p>
        </w:tc>
        <w:tc>
          <w:tcPr/>
          <w:p>
            <w:pPr>
              <w:pStyle w:val="Compact"/>
              <w:jc w:val="center"/>
            </w:pPr>
            <w:r>
              <w:t xml:space="preserve">✓</w:t>
            </w:r>
          </w:p>
        </w:tc>
      </w:tr>
      <w:tr>
        <w:tc>
          <w:tcPr/>
          <w:p>
            <w:pPr>
              <w:pStyle w:val="Compact"/>
              <w:jc w:val="left"/>
            </w:pPr>
            <w:r>
              <w:rPr>
                <w:rFonts w:hint="eastAsia"/>
              </w:rPr>
              <w:t xml:space="preserve">SGLT2抑制剂禁忌证</w:t>
            </w:r>
          </w:p>
        </w:tc>
        <w:tc>
          <w:tcPr/>
          <w:p>
            <w:pPr>
              <w:pStyle w:val="Compact"/>
              <w:jc w:val="left"/>
            </w:pPr>
            <w:r>
              <w:rPr>
                <w:rFonts w:hint="eastAsia"/>
              </w:rPr>
              <w:t xml:space="preserve">无</w:t>
            </w:r>
          </w:p>
        </w:tc>
        <w:tc>
          <w:tcPr/>
          <w:p>
            <w:pPr>
              <w:pStyle w:val="Compact"/>
              <w:jc w:val="left"/>
            </w:pPr>
            <w:r>
              <w:rPr>
                <w:rFonts w:hint="eastAsia"/>
              </w:rPr>
              <w:t xml:space="preserve">无</w:t>
            </w:r>
          </w:p>
        </w:tc>
        <w:tc>
          <w:tcPr/>
          <w:p>
            <w:pPr>
              <w:pStyle w:val="Compact"/>
              <w:jc w:val="center"/>
            </w:pPr>
            <w:r>
              <w:t xml:space="preserve">✓</w:t>
            </w:r>
          </w:p>
        </w:tc>
      </w:tr>
    </w:tbl>
    <w:p>
      <w:pPr>
        <w:pStyle w:val="BodyText"/>
      </w:pPr>
      <w:r>
        <w:rPr>
          <w:rFonts w:hint="eastAsia"/>
          <w:b/>
          <w:bCs/>
        </w:rPr>
        <w:t xml:space="preserve">评价：</w:t>
      </w:r>
      <w:r>
        <w:t xml:space="preserve"> </w:t>
      </w:r>
      <w:r>
        <w:rPr>
          <w:rFonts w:hint="eastAsia"/>
        </w:rPr>
        <w:t xml:space="preserve">本例患者特征与DAPA-HF研究对象高度吻合，代入性强，研究结果具有良好的外推性。</w:t>
      </w:r>
    </w:p>
    <w:bookmarkEnd w:id="25"/>
    <w:bookmarkStart w:id="26" w:name="患者的意愿与价值观"/>
    <w:p>
      <w:pPr>
        <w:pStyle w:val="Heading4"/>
      </w:pPr>
      <w:r>
        <w:t xml:space="preserve">2. </w:t>
      </w:r>
      <w:r>
        <w:rPr>
          <w:rFonts w:hint="eastAsia"/>
        </w:rPr>
        <w:t xml:space="preserve">患者的意愿与价值观</w:t>
      </w:r>
    </w:p>
    <w:p>
      <w:pPr>
        <w:pStyle w:val="FirstParagraph"/>
      </w:pPr>
      <w:r>
        <w:rPr>
          <w:rFonts w:hint="eastAsia"/>
        </w:rPr>
        <w:t xml:space="preserve">应用该文献前需与患者沟通：</w:t>
      </w:r>
      <w:r>
        <w:t xml:space="preserve"> </w:t>
      </w:r>
      <w:r>
        <w:t xml:space="preserve">- </w:t>
      </w:r>
      <w:r>
        <w:rPr>
          <w:rFonts w:hint="eastAsia"/>
        </w:rPr>
        <w:t xml:space="preserve">口服1片（10</w:t>
      </w:r>
      <w:r>
        <w:t xml:space="preserve"> </w:t>
      </w:r>
      <w:r>
        <w:rPr>
          <w:rFonts w:hint="eastAsia"/>
        </w:rPr>
        <w:t xml:space="preserve">mg）/天，用药方便，无需调整饮食。</w:t>
      </w:r>
      <w:r>
        <w:t xml:space="preserve"> </w:t>
      </w:r>
      <w:r>
        <w:t xml:space="preserve">- </w:t>
      </w:r>
      <w:r>
        <w:rPr>
          <w:rFonts w:hint="eastAsia"/>
        </w:rPr>
        <w:t xml:space="preserve">可能出现的轻微不良反应：泌尿生殖道感染（发生率较低，约4%），偶有低血糖（单独使用几乎不发生，与磺脲类/胰岛素合用时需注意）。</w:t>
      </w:r>
      <w:r>
        <w:t xml:space="preserve"> </w:t>
      </w:r>
      <w:r>
        <w:t xml:space="preserve">- </w:t>
      </w:r>
      <w:r>
        <w:rPr>
          <w:rFonts w:hint="eastAsia"/>
        </w:rPr>
        <w:t xml:space="preserve">获益：在现有治疗基础上，进一步降低再次因心衰住院风险约26%，同时可能改善生活质量并保护肾功能。</w:t>
      </w:r>
      <w:r>
        <w:t xml:space="preserve"> </w:t>
      </w:r>
      <w:r>
        <w:t xml:space="preserve">- </w:t>
      </w:r>
      <w:r>
        <w:rPr>
          <w:rFonts w:hint="eastAsia"/>
        </w:rPr>
        <w:t xml:space="preserve">患者目前已有明显心衰症状、生活质量受影响，有强烈意愿减少再住院风险。</w:t>
      </w:r>
    </w:p>
    <w:bookmarkEnd w:id="26"/>
    <w:bookmarkStart w:id="27" w:name="医疗条件与可行性"/>
    <w:p>
      <w:pPr>
        <w:pStyle w:val="Heading4"/>
      </w:pPr>
      <w:r>
        <w:t xml:space="preserve">3. </w:t>
      </w:r>
      <w:r>
        <w:rPr>
          <w:rFonts w:hint="eastAsia"/>
        </w:rPr>
        <w:t xml:space="preserve">医疗条件与可行性</w:t>
      </w:r>
    </w:p>
    <w:p>
      <w:pPr>
        <w:pStyle w:val="Compact"/>
        <w:numPr>
          <w:ilvl w:val="0"/>
          <w:numId w:val="1003"/>
        </w:numPr>
      </w:pPr>
      <w:r>
        <w:rPr>
          <w:rFonts w:hint="eastAsia"/>
          <w:b/>
          <w:bCs/>
        </w:rPr>
        <w:t xml:space="preserve">药物可及性：</w:t>
      </w:r>
      <w:r>
        <w:t xml:space="preserve"> </w:t>
      </w:r>
      <w:r>
        <w:rPr>
          <w:rFonts w:hint="eastAsia"/>
        </w:rPr>
        <w:t xml:space="preserve">达格列净（商品名”安达唐”）已在中国上市，且自2022年起纳入国家医保目录（乙类），月费用可负担。</w:t>
      </w:r>
    </w:p>
    <w:p>
      <w:pPr>
        <w:pStyle w:val="Compact"/>
        <w:numPr>
          <w:ilvl w:val="0"/>
          <w:numId w:val="1003"/>
        </w:numPr>
      </w:pPr>
      <w:r>
        <w:rPr>
          <w:rFonts w:hint="eastAsia"/>
          <w:b/>
          <w:bCs/>
        </w:rPr>
        <w:t xml:space="preserve">监测条件：</w:t>
      </w:r>
      <w:r>
        <w:t xml:space="preserve"> </w:t>
      </w:r>
      <w:r>
        <w:rPr>
          <w:rFonts w:hint="eastAsia"/>
        </w:rPr>
        <w:t xml:space="preserve">使用前需检测eGFR（≥25方可使用）、血钾，本院门诊均可完成定期监测。</w:t>
      </w:r>
    </w:p>
    <w:p>
      <w:pPr>
        <w:pStyle w:val="Compact"/>
        <w:numPr>
          <w:ilvl w:val="0"/>
          <w:numId w:val="1003"/>
        </w:numPr>
      </w:pPr>
      <w:r>
        <w:rPr>
          <w:rFonts w:hint="eastAsia"/>
          <w:b/>
          <w:bCs/>
        </w:rPr>
        <w:t xml:space="preserve">药物相互作用：</w:t>
      </w:r>
      <w:r>
        <w:t xml:space="preserve"> </w:t>
      </w:r>
      <w:r>
        <w:rPr>
          <w:rFonts w:hint="eastAsia"/>
        </w:rPr>
        <w:t xml:space="preserve">与患者现用药（ARNI、β受体阻滞剂、螺内酯）无显著不良相互作用。</w:t>
      </w:r>
    </w:p>
    <w:bookmarkEnd w:id="27"/>
    <w:bookmarkStart w:id="28" w:name="潜在风险与获益权衡"/>
    <w:p>
      <w:pPr>
        <w:pStyle w:val="Heading4"/>
      </w:pPr>
      <w:r>
        <w:t xml:space="preserve">4. </w:t>
      </w:r>
      <w:r>
        <w:rPr>
          <w:rFonts w:hint="eastAsia"/>
        </w:rPr>
        <w:t xml:space="preserve">潜在风险与获益权衡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潜在获益</w:t>
            </w:r>
          </w:p>
        </w:tc>
        <w:tc>
          <w:tcPr/>
          <w:p>
            <w:pPr>
              <w:pStyle w:val="Compact"/>
              <w:jc w:val="left"/>
            </w:pPr>
            <w:r>
              <w:rPr>
                <w:rFonts w:hint="eastAsia"/>
              </w:rPr>
              <w:t xml:space="preserve">潜在风险</w:t>
            </w:r>
          </w:p>
        </w:tc>
      </w:tr>
      <w:tr>
        <w:tc>
          <w:tcPr/>
          <w:p>
            <w:pPr>
              <w:pStyle w:val="Compact"/>
              <w:jc w:val="left"/>
            </w:pPr>
            <w:r>
              <w:rPr>
                <w:rFonts w:hint="eastAsia"/>
              </w:rPr>
              <w:t xml:space="preserve">降低心衰住院/CV死亡复合终点26%（NNT≈21）</w:t>
            </w:r>
          </w:p>
        </w:tc>
        <w:tc>
          <w:tcPr/>
          <w:p>
            <w:pPr>
              <w:pStyle w:val="Compact"/>
              <w:jc w:val="left"/>
            </w:pPr>
            <w:r>
              <w:rPr>
                <w:rFonts w:hint="eastAsia"/>
              </w:rPr>
              <w:t xml:space="preserve">泌尿生殖道感染（轻微，可处理）</w:t>
            </w:r>
          </w:p>
        </w:tc>
      </w:tr>
      <w:tr>
        <w:tc>
          <w:tcPr/>
          <w:p>
            <w:pPr>
              <w:pStyle w:val="Compact"/>
              <w:jc w:val="left"/>
            </w:pPr>
            <w:r>
              <w:rPr>
                <w:rFonts w:hint="eastAsia"/>
              </w:rPr>
              <w:t xml:space="preserve">降低全因死亡17%</w:t>
            </w:r>
          </w:p>
        </w:tc>
        <w:tc>
          <w:tcPr/>
          <w:p>
            <w:pPr>
              <w:pStyle w:val="Compact"/>
              <w:jc w:val="left"/>
            </w:pPr>
            <w:r>
              <w:rPr>
                <w:rFonts w:hint="eastAsia"/>
              </w:rPr>
              <w:t xml:space="preserve">低血容量风险（与利尿剂合用时需监测血压）</w:t>
            </w:r>
          </w:p>
        </w:tc>
      </w:tr>
      <w:tr>
        <w:tc>
          <w:tcPr/>
          <w:p>
            <w:pPr>
              <w:pStyle w:val="Compact"/>
              <w:jc w:val="left"/>
            </w:pPr>
            <w:r>
              <w:rPr>
                <w:rFonts w:hint="eastAsia"/>
              </w:rPr>
              <w:t xml:space="preserve">改善生活质量（KCCQ评分）</w:t>
            </w:r>
          </w:p>
        </w:tc>
        <w:tc>
          <w:tcPr/>
          <w:p>
            <w:pPr>
              <w:pStyle w:val="Compact"/>
              <w:jc w:val="left"/>
            </w:pPr>
            <w:r>
              <w:rPr>
                <w:rFonts w:hint="eastAsia"/>
              </w:rPr>
              <w:t xml:space="preserve">糖尿病酮症酸中毒（DKA，罕见，DAPA-HF中未显著增加）</w:t>
            </w:r>
          </w:p>
        </w:tc>
      </w:tr>
      <w:tr>
        <w:tc>
          <w:tcPr/>
          <w:p>
            <w:pPr>
              <w:pStyle w:val="Compact"/>
              <w:jc w:val="left"/>
            </w:pPr>
            <w:r>
              <w:rPr>
                <w:rFonts w:hint="eastAsia"/>
              </w:rPr>
              <w:t xml:space="preserve">减缓eGFR下降（肾保护）</w:t>
            </w:r>
          </w:p>
        </w:tc>
        <w:tc>
          <w:tcPr/>
          <w:p>
            <w:pPr>
              <w:pStyle w:val="Compact"/>
              <w:jc w:val="left"/>
            </w:pPr>
            <w:r>
              <w:rPr>
                <w:rFonts w:hint="eastAsia"/>
              </w:rPr>
              <w:t xml:space="preserve">费用（已纳入医保，可负担）</w:t>
            </w:r>
          </w:p>
        </w:tc>
      </w:tr>
    </w:tbl>
    <w:p>
      <w:pPr>
        <w:pStyle w:val="BodyText"/>
      </w:pPr>
      <w:r>
        <w:rPr>
          <w:rFonts w:hint="eastAsia"/>
          <w:b/>
          <w:bCs/>
        </w:rPr>
        <w:t xml:space="preserve">风险获益比：</w:t>
      </w:r>
      <w:r>
        <w:t xml:space="preserve"> </w:t>
      </w:r>
      <w:r>
        <w:rPr>
          <w:rFonts w:hint="eastAsia"/>
        </w:rPr>
        <w:t xml:space="preserve">获益显著且具临床意义，主要不良事件轻微可控。在规律监测下用药安全性良好。</w:t>
      </w:r>
    </w:p>
    <w:bookmarkEnd w:id="28"/>
    <w:bookmarkStart w:id="29" w:name="适用性小结"/>
    <w:p>
      <w:pPr>
        <w:pStyle w:val="Heading4"/>
      </w:pPr>
      <w:r>
        <w:rPr>
          <w:rFonts w:hint="eastAsia"/>
        </w:rPr>
        <w:t xml:space="preserve">适用性小结</w:t>
      </w:r>
    </w:p>
    <w:p>
      <w:pPr>
        <w:pStyle w:val="FirstParagraph"/>
      </w:pPr>
      <w:r>
        <w:rPr>
          <w:rFonts w:hint="eastAsia"/>
        </w:rPr>
        <w:t xml:space="preserve">本例患者与DAPA-HF研究人群高度匹配，无禁忌证，医疗条件允许，药物可及且经济负担可承受，患者有充分意愿，</w:t>
      </w:r>
      <w:r>
        <w:rPr>
          <w:rFonts w:hint="eastAsia"/>
          <w:b/>
          <w:bCs/>
        </w:rPr>
        <w:t xml:space="preserve">该证据具有良好的适用性</w:t>
      </w:r>
      <w:r>
        <w:t xml:space="preserve">。</w:t>
      </w:r>
    </w:p>
    <w:p>
      <w:r>
        <w:pict>
          <v:rect style="width:0;height:1.5pt" o:hralign="center" o:hrstd="t" o:hr="t"/>
        </w:pict>
      </w:r>
    </w:p>
    <w:bookmarkEnd w:id="29"/>
    <w:bookmarkEnd w:id="30"/>
    <w:bookmarkEnd w:id="31"/>
    <w:bookmarkStart w:id="41" w:name="五是否应用该文献及如何应用于患者15分"/>
    <w:p>
      <w:pPr>
        <w:pStyle w:val="Heading2"/>
      </w:pPr>
      <w:r>
        <w:rPr>
          <w:rFonts w:hint="eastAsia"/>
        </w:rPr>
        <w:t xml:space="preserve">五、是否应用该文献及如何应用于患者（15分）</w:t>
      </w:r>
    </w:p>
    <w:bookmarkStart w:id="32" w:name="一决策应用该文献推荐加用达格列净"/>
    <w:p>
      <w:pPr>
        <w:pStyle w:val="Heading3"/>
      </w:pPr>
      <w:r>
        <w:rPr>
          <w:rFonts w:hint="eastAsia"/>
        </w:rPr>
        <w:t xml:space="preserve">（一）决策：应用该文献，推荐加用达格列净</w:t>
      </w:r>
    </w:p>
    <w:p>
      <w:pPr>
        <w:pStyle w:val="FirstParagraph"/>
      </w:pPr>
      <w:r>
        <w:rPr>
          <w:rFonts w:hint="eastAsia"/>
          <w:b/>
          <w:bCs/>
        </w:rPr>
        <w:t xml:space="preserve">结论：应当将DAPA-HF研究结果应用于本例患者，在现有标准心衰三联治疗基础上加用达格列净10</w:t>
      </w:r>
      <w:r>
        <w:rPr>
          <w:b/>
          <w:bCs/>
        </w:rPr>
        <w:t xml:space="preserve"> mg/d。</w:t>
      </w:r>
    </w:p>
    <w:bookmarkEnd w:id="32"/>
    <w:bookmarkStart w:id="38" w:name="二应用的论证缘由"/>
    <w:p>
      <w:pPr>
        <w:pStyle w:val="Heading3"/>
      </w:pPr>
      <w:r>
        <w:rPr>
          <w:rFonts w:hint="eastAsia"/>
        </w:rPr>
        <w:t xml:space="preserve">（二）应用的论证缘由</w:t>
      </w:r>
    </w:p>
    <w:bookmarkStart w:id="33" w:name="循证证据支持强evidence-level-ⅰ-a"/>
    <w:p>
      <w:pPr>
        <w:pStyle w:val="Heading4"/>
      </w:pPr>
      <w:r>
        <w:t xml:space="preserve">1. </w:t>
      </w:r>
      <w:r>
        <w:rPr>
          <w:rFonts w:hint="eastAsia"/>
        </w:rPr>
        <w:t xml:space="preserve">循证证据支持强（Evidence</w:t>
      </w:r>
      <w:r>
        <w:t xml:space="preserve"> Level: Ⅰ </w:t>
      </w:r>
      <w:r>
        <w:rPr>
          <w:rFonts w:hint="eastAsia"/>
        </w:rPr>
        <w:t xml:space="preserve">A）</w:t>
      </w:r>
    </w:p>
    <w:p>
      <w:pPr>
        <w:pStyle w:val="FirstParagraph"/>
      </w:pPr>
      <w:r>
        <w:rPr>
          <w:rFonts w:hint="eastAsia"/>
        </w:rPr>
        <w:t xml:space="preserve">DAPA-HF研究为大样本（n=4744）多中心随机双盲安慰剂对照试验，发表于NEJM（影响因子最高的医学期刊之一），设计严谨，内部真实性高。该研究已被纳入：</w:t>
      </w:r>
      <w:r>
        <w:t xml:space="preserve"> </w:t>
      </w:r>
      <w:r>
        <w:t xml:space="preserve">-</w:t>
      </w:r>
      <w:r>
        <w:t xml:space="preserve"> </w:t>
      </w:r>
      <w:r>
        <w:rPr>
          <w:rFonts w:hint="eastAsia"/>
          <w:b/>
          <w:bCs/>
        </w:rPr>
        <w:t xml:space="preserve">2021年ESC心力衰竭指南</w:t>
      </w:r>
      <w:r>
        <w:rPr>
          <w:rFonts w:hint="eastAsia"/>
        </w:rPr>
        <w:t xml:space="preserve">：SGLT2抑制剂（达格列净/恩格列净）用于HFrEF列为</w:t>
      </w:r>
      <w:r>
        <w:rPr>
          <w:rFonts w:hint="eastAsia"/>
          <w:b/>
          <w:bCs/>
        </w:rPr>
        <w:t xml:space="preserve">Ⅰ类A级推荐</w:t>
      </w:r>
      <w:r>
        <w:rPr>
          <w:rFonts w:hint="eastAsia"/>
        </w:rPr>
        <w:t xml:space="preserve">（最高级别）。</w:t>
      </w:r>
      <w:r>
        <w:t xml:space="preserve"> </w:t>
      </w:r>
      <w:r>
        <w:t xml:space="preserve">-</w:t>
      </w:r>
      <w:r>
        <w:t xml:space="preserve"> </w:t>
      </w:r>
      <w:r>
        <w:rPr>
          <w:rFonts w:hint="eastAsia"/>
          <w:b/>
          <w:bCs/>
        </w:rPr>
        <w:t xml:space="preserve">2022年AHA/ACC/HFSA心衰指南</w:t>
      </w:r>
      <w:r>
        <w:rPr>
          <w:rFonts w:hint="eastAsia"/>
        </w:rPr>
        <w:t xml:space="preserve">：同列为</w:t>
      </w:r>
      <w:r>
        <w:rPr>
          <w:rFonts w:hint="eastAsia"/>
          <w:b/>
          <w:bCs/>
        </w:rPr>
        <w:t xml:space="preserve">Ⅰ类A级推荐</w:t>
      </w:r>
      <w:r>
        <w:t xml:space="preserve">。</w:t>
      </w:r>
      <w:r>
        <w:t xml:space="preserve"> </w:t>
      </w:r>
      <w:r>
        <w:t xml:space="preserve">-</w:t>
      </w:r>
      <w:r>
        <w:t xml:space="preserve"> </w:t>
      </w:r>
      <w:r>
        <w:rPr>
          <w:rFonts w:hint="eastAsia"/>
          <w:b/>
          <w:bCs/>
        </w:rPr>
        <w:t xml:space="preserve">2022年中国心力衰竭诊断和治疗指南</w:t>
      </w:r>
      <w:r>
        <w:rPr>
          <w:rFonts w:hint="eastAsia"/>
        </w:rPr>
        <w:t xml:space="preserve">：同样推荐SGLT2抑制剂作为HFrEF的标准治疗之一。</w:t>
      </w:r>
    </w:p>
    <w:bookmarkEnd w:id="33"/>
    <w:bookmarkStart w:id="34" w:name="患者与研究人群高度匹配"/>
    <w:p>
      <w:pPr>
        <w:pStyle w:val="Heading4"/>
      </w:pPr>
      <w:r>
        <w:t xml:space="preserve">2. </w:t>
      </w:r>
      <w:r>
        <w:rPr>
          <w:rFonts w:hint="eastAsia"/>
        </w:rPr>
        <w:t xml:space="preserve">患者与研究人群高度匹配</w:t>
      </w:r>
    </w:p>
    <w:p>
      <w:pPr>
        <w:pStyle w:val="FirstParagraph"/>
      </w:pPr>
      <w:r>
        <w:rPr>
          <w:rFonts w:hint="eastAsia"/>
        </w:rPr>
        <w:t xml:space="preserve">本例患者67岁、男性、LVEF</w:t>
      </w:r>
      <w:r>
        <w:t xml:space="preserve"> 32%、NYHA </w:t>
      </w:r>
      <w:r>
        <w:rPr>
          <w:rFonts w:hint="eastAsia"/>
        </w:rPr>
        <w:t xml:space="preserve">Ⅲ级、合并T2DM、eGFR</w:t>
      </w:r>
      <w:r>
        <w:t xml:space="preserve"> 71 </w:t>
      </w:r>
      <w:r>
        <w:rPr>
          <w:rFonts w:hint="eastAsia"/>
        </w:rPr>
        <w:t xml:space="preserve">mL/min/1.73m²，已优化使用ARNI+β受体阻滞剂+MRA，NT-proBNP显著升高（5420</w:t>
      </w:r>
      <w:r>
        <w:t xml:space="preserve"> </w:t>
      </w:r>
      <w:r>
        <w:rPr>
          <w:rFonts w:hint="eastAsia"/>
        </w:rPr>
        <w:t xml:space="preserve">pg/mL）——其特征与DAPA-HF研究纳入人群完全吻合，甚至属于高风险亚组（较高NT-proBNP），从绝对获益角度可能更大（ARR可能超过平均4.9%）。</w:t>
      </w:r>
    </w:p>
    <w:p>
      <w:pPr>
        <w:pStyle w:val="BodyText"/>
      </w:pPr>
      <w:r>
        <w:rPr>
          <w:rFonts w:hint="eastAsia"/>
        </w:rPr>
        <w:t xml:space="preserve">特别值得注意的是：</w:t>
      </w:r>
      <w:r>
        <w:rPr>
          <w:rFonts w:hint="eastAsia"/>
          <w:b/>
          <w:bCs/>
        </w:rPr>
        <w:t xml:space="preserve">DAPA-HF研究明确证实，无论患者是否合并T2DM，达格列净的获益一致（交互P=0.80）</w:t>
      </w:r>
      <w:r>
        <w:rPr>
          <w:rFonts w:hint="eastAsia"/>
        </w:rPr>
        <w:t xml:space="preserve">。即使患者主要选用SGLT2抑制剂是出于心衰而非降糖目的，其心血管和肾脏保护价值同样成立。这一发现改变了SGLT2抑制剂仅用于T2DM的传统认知。</w:t>
      </w:r>
    </w:p>
    <w:bookmarkEnd w:id="34"/>
    <w:bookmarkStart w:id="35" w:name="一石多鸟的临床获益"/>
    <w:p>
      <w:pPr>
        <w:pStyle w:val="Heading4"/>
      </w:pPr>
      <w:r>
        <w:t xml:space="preserve">3. </w:t>
      </w:r>
      <w:r>
        <w:rPr>
          <w:rFonts w:hint="eastAsia"/>
        </w:rPr>
        <w:t xml:space="preserve">一石多鸟的临床获益</w:t>
      </w:r>
    </w:p>
    <w:p>
      <w:pPr>
        <w:pStyle w:val="FirstParagraph"/>
      </w:pPr>
      <w:r>
        <w:rPr>
          <w:rFonts w:hint="eastAsia"/>
        </w:rPr>
        <w:t xml:space="preserve">本例患者同时患有HFrEF、T2DM、高血压，达格列净在此三个维度均有循证依据：</w:t>
      </w:r>
      <w:r>
        <w:t xml:space="preserve"> </w:t>
      </w:r>
      <w:r>
        <w:t xml:space="preserve">-</w:t>
      </w:r>
      <w:r>
        <w:t xml:space="preserve"> </w:t>
      </w:r>
      <w:r>
        <w:rPr>
          <w:rFonts w:hint="eastAsia"/>
          <w:b/>
          <w:bCs/>
        </w:rPr>
        <w:t xml:space="preserve">心衰：</w:t>
      </w:r>
      <w:r>
        <w:t xml:space="preserve"> </w:t>
      </w:r>
      <w:r>
        <w:rPr>
          <w:rFonts w:hint="eastAsia"/>
        </w:rPr>
        <w:t xml:space="preserve">降低心衰住院/CV死亡（DAPA-HF）。</w:t>
      </w:r>
      <w:r>
        <w:t xml:space="preserve"> </w:t>
      </w:r>
      <w:r>
        <w:t xml:space="preserve">-</w:t>
      </w:r>
      <w:r>
        <w:t xml:space="preserve"> </w:t>
      </w:r>
      <w:r>
        <w:rPr>
          <w:rFonts w:hint="eastAsia"/>
          <w:b/>
          <w:bCs/>
        </w:rPr>
        <w:t xml:space="preserve">T2DM：</w:t>
      </w:r>
      <w:r>
        <w:t xml:space="preserve"> </w:t>
      </w:r>
      <w:r>
        <w:t xml:space="preserve">DECLARE-TIMI </w:t>
      </w:r>
      <w:r>
        <w:rPr>
          <w:rFonts w:hint="eastAsia"/>
        </w:rPr>
        <w:t xml:space="preserve">58研究证实达格列净降低T2DM患者心血管事件。</w:t>
      </w:r>
      <w:r>
        <w:t xml:space="preserve"> </w:t>
      </w:r>
      <w:r>
        <w:t xml:space="preserve">-</w:t>
      </w:r>
      <w:r>
        <w:t xml:space="preserve"> </w:t>
      </w:r>
      <w:r>
        <w:rPr>
          <w:rFonts w:hint="eastAsia"/>
          <w:b/>
          <w:bCs/>
        </w:rPr>
        <w:t xml:space="preserve">肾保护：</w:t>
      </w:r>
      <w:r>
        <w:t xml:space="preserve"> </w:t>
      </w:r>
      <w:r>
        <w:rPr>
          <w:rFonts w:hint="eastAsia"/>
        </w:rPr>
        <w:t xml:space="preserve">DAPA-CKD研究证实达格列净延缓慢性肾病进展（本患者eGFR</w:t>
      </w:r>
      <w:r>
        <w:t xml:space="preserve"> </w:t>
      </w:r>
      <w:r>
        <w:rPr>
          <w:rFonts w:hint="eastAsia"/>
        </w:rPr>
        <w:t xml:space="preserve">71，需长期保护）。</w:t>
      </w:r>
    </w:p>
    <w:p>
      <w:pPr>
        <w:pStyle w:val="BodyText"/>
      </w:pPr>
      <w:r>
        <w:rPr>
          <w:rFonts w:hint="eastAsia"/>
        </w:rPr>
        <w:t xml:space="preserve">三重适应证叠加，进一步强化应用的合理性。</w:t>
      </w:r>
    </w:p>
    <w:bookmarkEnd w:id="35"/>
    <w:bookmarkStart w:id="36" w:name="安全性可接受无禁忌"/>
    <w:p>
      <w:pPr>
        <w:pStyle w:val="Heading4"/>
      </w:pPr>
      <w:r>
        <w:t xml:space="preserve">4. </w:t>
      </w:r>
      <w:r>
        <w:rPr>
          <w:rFonts w:hint="eastAsia"/>
        </w:rPr>
        <w:t xml:space="preserve">安全性可接受，无禁忌</w:t>
      </w:r>
    </w:p>
    <w:p>
      <w:pPr>
        <w:pStyle w:val="FirstParagraph"/>
      </w:pPr>
      <w:r>
        <w:rPr>
          <w:rFonts w:hint="eastAsia"/>
        </w:rPr>
        <w:t xml:space="preserve">患者eGFR</w:t>
      </w:r>
      <w:r>
        <w:t xml:space="preserve"> 71 </w:t>
      </w:r>
      <w:r>
        <w:rPr>
          <w:rFonts w:hint="eastAsia"/>
        </w:rPr>
        <w:t xml:space="preserve">mL/min/1.73m²（远高于禁忌阈值≥25），无反复泌尿道感染病史，无DKA危险因素，基础治疗稳定，血容量无明显不足。可安全使用。</w:t>
      </w:r>
    </w:p>
    <w:bookmarkEnd w:id="36"/>
    <w:bookmarkStart w:id="37" w:name="不应用的代价"/>
    <w:p>
      <w:pPr>
        <w:pStyle w:val="Heading4"/>
      </w:pPr>
      <w:r>
        <w:t xml:space="preserve">5. </w:t>
      </w:r>
      <w:r>
        <w:rPr>
          <w:rFonts w:hint="eastAsia"/>
        </w:rPr>
        <w:t xml:space="preserve">不应用的代价</w:t>
      </w:r>
    </w:p>
    <w:p>
      <w:pPr>
        <w:pStyle w:val="FirstParagraph"/>
      </w:pPr>
      <w:r>
        <w:rPr>
          <w:rFonts w:hint="eastAsia"/>
        </w:rPr>
        <w:t xml:space="preserve">若不加用达格列净，患者在已优化三联基础治疗后，仍面临约21%的复合事件风险，且缺乏进一步降低再住院率的额外保障。现有指南已将其列为Ⅰ类推荐，不应用将偏离当前循证实践标准。</w:t>
      </w:r>
    </w:p>
    <w:bookmarkEnd w:id="37"/>
    <w:bookmarkEnd w:id="38"/>
    <w:bookmarkStart w:id="39" w:name="三具体应用方案"/>
    <w:p>
      <w:pPr>
        <w:pStyle w:val="Heading3"/>
      </w:pPr>
      <w:r>
        <w:rPr>
          <w:rFonts w:hint="eastAsia"/>
        </w:rPr>
        <w:t xml:space="preserve">（三）具体应用方案</w:t>
      </w:r>
    </w:p>
    <w:p>
      <w:pPr>
        <w:pStyle w:val="FirstParagraph"/>
      </w:pPr>
      <w:r>
        <w:rPr>
          <w:rFonts w:hint="eastAsia"/>
          <w:b/>
          <w:bCs/>
        </w:rPr>
        <w:t xml:space="preserve">处方建议：</w:t>
      </w:r>
      <w:r>
        <w:t xml:space="preserve"> </w:t>
      </w:r>
      <w:r>
        <w:t xml:space="preserve">- </w:t>
      </w:r>
      <w:r>
        <w:rPr>
          <w:rFonts w:hint="eastAsia"/>
        </w:rPr>
        <w:t xml:space="preserve">达格列净片（安达唐）10</w:t>
      </w:r>
      <w:r>
        <w:t xml:space="preserve"> </w:t>
      </w:r>
      <w:r>
        <w:rPr>
          <w:rFonts w:hint="eastAsia"/>
        </w:rPr>
        <w:t xml:space="preserve">mg，口服，每日1次（早餐前后均可）。</w:t>
      </w:r>
      <w:r>
        <w:t xml:space="preserve"> </w:t>
      </w:r>
      <w:r>
        <w:t xml:space="preserve">- </w:t>
      </w:r>
      <w:r>
        <w:rPr>
          <w:rFonts w:hint="eastAsia"/>
        </w:rPr>
        <w:t xml:space="preserve">不需调整其他用药剂量，与ARNI、β受体阻滞剂、螺内酯、二甲双胍合用安全。</w:t>
      </w:r>
    </w:p>
    <w:p>
      <w:pPr>
        <w:pStyle w:val="BodyText"/>
      </w:pPr>
      <w:r>
        <w:rPr>
          <w:rFonts w:hint="eastAsia"/>
          <w:b/>
          <w:bCs/>
        </w:rPr>
        <w:t xml:space="preserve">用药前检查：</w:t>
      </w:r>
      <w:r>
        <w:t xml:space="preserve"> </w:t>
      </w:r>
      <w:r>
        <w:rPr>
          <w:rFonts w:hint="eastAsia"/>
        </w:rPr>
        <w:t xml:space="preserve">复查eGFR、血钾、血糖、血压，排除泌尿生殖道活动性感染。</w:t>
      </w:r>
    </w:p>
    <w:p>
      <w:pPr>
        <w:pStyle w:val="BodyText"/>
      </w:pPr>
      <w:r>
        <w:rPr>
          <w:rFonts w:hint="eastAsia"/>
          <w:b/>
          <w:bCs/>
        </w:rPr>
        <w:t xml:space="preserve">随访监测计划：</w:t>
      </w:r>
      <w:r>
        <w:t xml:space="preserve"> </w:t>
      </w:r>
      <w:r>
        <w:t xml:space="preserve">- </w:t>
      </w:r>
      <w:r>
        <w:rPr>
          <w:rFonts w:hint="eastAsia"/>
        </w:rPr>
        <w:t xml:space="preserve">用药后2周：复查eGFR、电解质（初期可能出现一过性eGFR下降，属正常反应，无需停药）。</w:t>
      </w:r>
      <w:r>
        <w:t xml:space="preserve"> </w:t>
      </w:r>
      <w:r>
        <w:t xml:space="preserve">- </w:t>
      </w:r>
      <w:r>
        <w:rPr>
          <w:rFonts w:hint="eastAsia"/>
        </w:rPr>
        <w:t xml:space="preserve">每3个月：复查BNP/NT-proBNP、HbA1c、eGFR，评估心衰症状、体重变化。</w:t>
      </w:r>
      <w:r>
        <w:t xml:space="preserve"> </w:t>
      </w:r>
      <w:r>
        <w:t xml:space="preserve">- </w:t>
      </w:r>
      <w:r>
        <w:rPr>
          <w:rFonts w:hint="eastAsia"/>
        </w:rPr>
        <w:t xml:space="preserve">每次随访：询问有无泌尿生殖道感染症状（尿频、尿急、外阴瘙痒）。</w:t>
      </w:r>
    </w:p>
    <w:p>
      <w:pPr>
        <w:pStyle w:val="BodyText"/>
      </w:pPr>
      <w:r>
        <w:rPr>
          <w:rFonts w:hint="eastAsia"/>
          <w:b/>
          <w:bCs/>
        </w:rPr>
        <w:t xml:space="preserve">患者教育：</w:t>
      </w:r>
      <w:r>
        <w:t xml:space="preserve"> </w:t>
      </w:r>
      <w:r>
        <w:t xml:space="preserve">- </w:t>
      </w:r>
      <w:r>
        <w:rPr>
          <w:rFonts w:hint="eastAsia"/>
        </w:rPr>
        <w:t xml:space="preserve">保持充足水分摄入，避免过度限水。</w:t>
      </w:r>
      <w:r>
        <w:t xml:space="preserve"> </w:t>
      </w:r>
      <w:r>
        <w:t xml:space="preserve">- </w:t>
      </w:r>
      <w:r>
        <w:rPr>
          <w:rFonts w:hint="eastAsia"/>
        </w:rPr>
        <w:t xml:space="preserve">若出现尿频、排尿不适、外阴瘙痒，及时就医，多数为轻微感染可抗生素处理。</w:t>
      </w:r>
      <w:r>
        <w:t xml:space="preserve"> </w:t>
      </w:r>
      <w:r>
        <w:t xml:space="preserve">- </w:t>
      </w:r>
      <w:r>
        <w:rPr>
          <w:rFonts w:hint="eastAsia"/>
        </w:rPr>
        <w:t xml:space="preserve">避免长时间禁食（如手术前后）时继续使用SGLT2抑制剂，以防DKA（围手术期建议停用48-72小时）。</w:t>
      </w:r>
    </w:p>
    <w:bookmarkEnd w:id="39"/>
    <w:bookmarkStart w:id="40" w:name="四预期疗效"/>
    <w:p>
      <w:pPr>
        <w:pStyle w:val="Heading3"/>
      </w:pPr>
      <w:r>
        <w:rPr>
          <w:rFonts w:hint="eastAsia"/>
        </w:rPr>
        <w:t xml:space="preserve">（四）预期疗效</w:t>
      </w:r>
    </w:p>
    <w:p>
      <w:pPr>
        <w:pStyle w:val="FirstParagraph"/>
      </w:pPr>
      <w:r>
        <w:rPr>
          <w:rFonts w:hint="eastAsia"/>
        </w:rPr>
        <w:t xml:space="preserve">基于DAPA-HF研究数据，在约18个月随访期内：</w:t>
      </w:r>
      <w:r>
        <w:t xml:space="preserve"> </w:t>
      </w:r>
      <w:r>
        <w:t xml:space="preserve">- </w:t>
      </w:r>
      <w:r>
        <w:rPr>
          <w:rFonts w:hint="eastAsia"/>
        </w:rPr>
        <w:t xml:space="preserve">再发心衰相关住院或心血管死亡的复合风险降低约26%（HR</w:t>
      </w:r>
      <w:r>
        <w:t xml:space="preserve"> </w:t>
      </w:r>
      <w:r>
        <w:rPr>
          <w:rFonts w:hint="eastAsia"/>
        </w:rPr>
        <w:t xml:space="preserve">0.74）。</w:t>
      </w:r>
      <w:r>
        <w:t xml:space="preserve"> </w:t>
      </w:r>
      <w:r>
        <w:t xml:space="preserve">- </w:t>
      </w:r>
      <w:r>
        <w:rPr>
          <w:rFonts w:hint="eastAsia"/>
        </w:rPr>
        <w:t xml:space="preserve">患者生活质量（KCCQ评分）可望在3-6个月内改善。</w:t>
      </w:r>
      <w:r>
        <w:t xml:space="preserve"> </w:t>
      </w:r>
      <w:r>
        <w:t xml:space="preserve">- </w:t>
      </w:r>
      <w:r>
        <w:rPr>
          <w:rFonts w:hint="eastAsia"/>
        </w:rPr>
        <w:t xml:space="preserve">长期eGFR下降速率减缓，延缓肾功能损伤。</w:t>
      </w:r>
      <w:r>
        <w:t xml:space="preserve"> </w:t>
      </w:r>
      <w:r>
        <w:t xml:space="preserve">- </w:t>
      </w:r>
      <w:r>
        <w:rPr>
          <w:rFonts w:hint="eastAsia"/>
        </w:rPr>
        <w:t xml:space="preserve">NT-proBNP有望进一步下降。</w:t>
      </w:r>
    </w:p>
    <w:p>
      <w:r>
        <w:pict>
          <v:rect style="width:0;height:1.5pt" o:hralign="center" o:hrstd="t" o:hr="t"/>
        </w:pict>
      </w:r>
    </w:p>
    <w:bookmarkEnd w:id="40"/>
    <w:bookmarkEnd w:id="41"/>
    <w:bookmarkStart w:id="42" w:name="六总结"/>
    <w:p>
      <w:pPr>
        <w:pStyle w:val="Heading2"/>
      </w:pPr>
      <w:r>
        <w:rPr>
          <w:rFonts w:hint="eastAsia"/>
        </w:rPr>
        <w:t xml:space="preserve">六、总结</w:t>
      </w:r>
    </w:p>
    <w:p>
      <w:pPr>
        <w:pStyle w:val="FirstParagraph"/>
      </w:pPr>
      <w:r>
        <w:rPr>
          <w:rFonts w:hint="eastAsia"/>
        </w:rPr>
        <w:t xml:space="preserve">本次循证医学实践以一例合并2型糖尿病的射血分数降低型心衰患者为切入点，依据PICOS原则提出结构化临床问题，检索并选取了发表于NEJM</w:t>
      </w:r>
      <w:r>
        <w:t xml:space="preserve"> </w:t>
      </w:r>
      <w:r>
        <w:rPr>
          <w:rFonts w:hint="eastAsia"/>
        </w:rPr>
        <w:t xml:space="preserve">2019年的DAPA-HF试验。文献质量评价显示该研究具备高度内部真实性（随机化严谨、双盲、ITT分析）、临床重要性（NNT≈21，全因死亡显著降低）和外部适用性（研究人群与本例患者高度匹配，无禁忌证）。综合循证证据、患者特征、用药安全性和指南推荐，</w:t>
      </w:r>
      <w:r>
        <w:rPr>
          <w:rFonts w:hint="eastAsia"/>
          <w:b/>
          <w:bCs/>
        </w:rPr>
        <w:t xml:space="preserve">决定应用该文献证据，在标准三联治疗基础上加用达格列净10</w:t>
      </w:r>
      <w:r>
        <w:rPr>
          <w:b/>
          <w:bCs/>
        </w:rPr>
        <w:t xml:space="preserve"> mg/d</w:t>
      </w:r>
      <w:r>
        <w:rPr>
          <w:rFonts w:hint="eastAsia"/>
        </w:rPr>
        <w:t xml:space="preserve">，并制定了规范的随访和患者教育方案。</w:t>
      </w:r>
    </w:p>
    <w:p>
      <w:r>
        <w:pict>
          <v:rect style="width:0;height:1.5pt" o:hralign="center" o:hrstd="t" o:hr="t"/>
        </w:pict>
      </w:r>
    </w:p>
    <w:bookmarkEnd w:id="42"/>
    <w:bookmarkStart w:id="43" w:name="附录参考文献主角文献"/>
    <w:p>
      <w:pPr>
        <w:pStyle w:val="Heading2"/>
      </w:pPr>
      <w:r>
        <w:rPr>
          <w:rFonts w:hint="eastAsia"/>
        </w:rPr>
        <w:t xml:space="preserve">附录：参考文献（主角文献）</w:t>
      </w:r>
    </w:p>
    <w:p>
      <w:pPr>
        <w:pStyle w:val="FirstParagraph"/>
      </w:pPr>
      <w:r>
        <w:t xml:space="preserve">McMurray JJV, Solomon SD, Inzucchi SE, Køber L, Kosiborod MN, Martinez FA, Ponikowski P, Sabatine MS, Anand IS, Bělohlávek J, Böhm M, Chiang CE, Chopra VK, de Boer RA, Desai AS, Diez M, Drozdz J, Dukát A, Ge J, Howlett JG, Katova T, Kitakaze M, Ljungman CEA, Merkely B, Nicolau JC, O’Meara E, Petrie MC, Vinh PN, Schou M, Tereshchenko S, Verma S, Held C, DeMets DL, Docherty KF, Jhund PS, Bengtsson O, Sjöstrand M, Langkilde AM; DAPA-HF Trial Committees and Investigators.</w:t>
      </w:r>
      <w:r>
        <w:t xml:space="preserve"> </w:t>
      </w:r>
      <w:r>
        <w:rPr>
          <w:b/>
          <w:bCs/>
        </w:rPr>
        <w:t xml:space="preserve">Dapagliflozin in Patients with Heart Failure and Reduced Ejection Fraction.</w:t>
      </w:r>
      <w:r>
        <w:t xml:space="preserve"> </w:t>
      </w:r>
      <w:r>
        <w:rPr>
          <w:i/>
          <w:iCs/>
        </w:rPr>
        <w:t xml:space="preserve">N Engl J Med.</w:t>
      </w:r>
      <w:r>
        <w:t xml:space="preserve"> </w:t>
      </w:r>
      <w:r>
        <w:t xml:space="preserve">2019 Nov 21;381(21):1995-2008. doi: 10.1056/NEJMoa1911303. PMID: 31535829.</w:t>
      </w:r>
    </w:p>
    <w:p>
      <w:pPr>
        <w:pStyle w:val="BodyText"/>
      </w:pPr>
      <w:r>
        <w:rPr>
          <w:rFonts w:hint="eastAsia"/>
          <w:b/>
          <w:bCs/>
        </w:rPr>
        <w:t xml:space="preserve">文献获取：</w:t>
      </w:r>
      <w:r>
        <w:t xml:space="preserve"> </w:t>
      </w:r>
      <w:r>
        <w:t xml:space="preserve">https://www.nejm.org/doi/full/10.1056/NEJMoa1911303</w:t>
      </w:r>
    </w:p>
    <w:p>
      <w:r>
        <w:pict>
          <v:rect style="width:0;height:1.5pt" o:hralign="center" o:hrstd="t" o:hr="t"/>
        </w:pict>
      </w:r>
    </w:p>
    <w:p>
      <w:pPr>
        <w:pStyle w:val="FirstParagraph"/>
      </w:pPr>
      <w:r>
        <w:rPr>
          <w:rFonts w:hint="eastAsia"/>
          <w:i/>
          <w:iCs/>
        </w:rPr>
        <w:t xml:space="preserve">注：请将DAPA-HF原文论文打印附于本作业之后，A4纸规格，小四字体。</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2026-05-22T09:08:40Z</dcterms:created>
  <dcterms:modified xsi:type="dcterms:W3CDTF">2026-05-22T09:08:40Z</dcterms:modified>
</cp:coreProperties>
</file>

<file path=docProps/custom.xml><?xml version="1.0" encoding="utf-8"?>
<Properties xmlns="http://schemas.openxmlformats.org/officeDocument/2006/custom-properties" xmlns:vt="http://schemas.openxmlformats.org/officeDocument/2006/docPropsVTypes"/>
</file>