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40"/>
        <w:rPr>
          <w:rFonts w:ascii="Arial" w:hAnsi="Arial" w:cs="Arial"/>
          <w:sz w:val="22"/>
          <w:szCs w:val="22"/>
        </w:rPr>
      </w:pPr>
      <w:r>
        <w:rPr>
          <w:rFonts w:cs="Arial" w:ascii="Arial" w:hAnsi="Arial"/>
          <w:b/>
          <w:bCs/>
          <w:sz w:val="22"/>
          <w:szCs w:val="22"/>
        </w:rPr>
        <w:t>Robert H. Cudmore, Ph.D.</w:t>
        <w:tab/>
      </w:r>
      <w:r>
        <w:rPr>
          <w:rFonts w:cs="Arial" w:ascii="Arial" w:hAnsi="Arial"/>
          <w:sz w:val="22"/>
          <w:szCs w:val="22"/>
        </w:rPr>
        <w:tab/>
        <w:tab/>
        <w:tab/>
        <w:tab/>
        <w:tab/>
        <w:tab/>
        <w:t xml:space="preserve">     robert.cudmore@gmail.com</w:t>
      </w:r>
    </w:p>
    <w:p>
      <w:pPr>
        <w:pStyle w:val="Normal"/>
        <w:spacing w:lineRule="auto" w:line="240" w:before="0" w:after="40"/>
        <w:rPr>
          <w:rFonts w:ascii="Arial" w:hAnsi="Arial" w:cs="Arial"/>
          <w:sz w:val="22"/>
          <w:szCs w:val="22"/>
        </w:rPr>
      </w:pPr>
      <w:r>
        <w:rPr>
          <w:rFonts w:cs="Arial" w:ascii="Arial" w:hAnsi="Arial"/>
          <w:sz w:val="22"/>
          <w:szCs w:val="22"/>
        </w:rPr>
        <w:t>Research Software Engineer &amp; Scientist</w:t>
        <w:tab/>
        <w:tab/>
        <w:tab/>
        <w:tab/>
        <w:tab/>
        <w:tab/>
        <w:t xml:space="preserve">       Cell: 443-695-2990</w:t>
      </w:r>
    </w:p>
    <w:p>
      <w:pPr>
        <w:pStyle w:val="Normal"/>
        <w:spacing w:lineRule="auto" w:line="240" w:before="0" w:after="40"/>
        <w:rPr>
          <w:rFonts w:ascii="Arial" w:hAnsi="Arial" w:cs="Arial"/>
          <w:sz w:val="22"/>
          <w:szCs w:val="22"/>
        </w:rPr>
      </w:pPr>
      <w:r>
        <w:rPr>
          <w:rFonts w:cs="Arial" w:ascii="Arial" w:hAnsi="Arial"/>
          <w:sz w:val="22"/>
          <w:szCs w:val="22"/>
        </w:rPr>
        <w:t>Baltimore, MD  21211</w:t>
        <w:tab/>
        <w:tab/>
        <w:tab/>
        <w:tab/>
        <w:tab/>
        <w:tab/>
        <w:tab/>
        <w:tab/>
        <w:t xml:space="preserve">    </w:t>
        <w:tab/>
        <w:t xml:space="preserve">       </w:t>
      </w:r>
      <w:hyperlink r:id="rId2">
        <w:r>
          <w:rPr>
            <w:rStyle w:val="Hyperlink"/>
            <w:rFonts w:cs="Arial" w:ascii="Arial" w:hAnsi="Arial"/>
            <w:sz w:val="22"/>
            <w:szCs w:val="22"/>
          </w:rPr>
          <w:t>web</w:t>
        </w:r>
      </w:hyperlink>
      <w:r>
        <w:rPr>
          <w:rFonts w:cs="Arial" w:ascii="Arial" w:hAnsi="Arial"/>
          <w:sz w:val="22"/>
          <w:szCs w:val="22"/>
        </w:rPr>
        <w:t xml:space="preserve"> · </w:t>
      </w:r>
      <w:hyperlink r:id="rId3">
        <w:r>
          <w:rPr>
            <w:rStyle w:val="Hyperlink"/>
            <w:rFonts w:cs="Arial" w:ascii="Arial" w:hAnsi="Arial"/>
            <w:sz w:val="22"/>
            <w:szCs w:val="22"/>
          </w:rPr>
          <w:t>github</w:t>
        </w:r>
      </w:hyperlink>
      <w:r>
        <w:rPr>
          <w:rFonts w:cs="Arial" w:ascii="Arial" w:hAnsi="Arial"/>
          <w:sz w:val="22"/>
          <w:szCs w:val="22"/>
        </w:rPr>
        <w:t xml:space="preserve"> · </w:t>
      </w:r>
      <w:hyperlink r:id="rId4">
        <w:r>
          <w:rPr>
            <w:rStyle w:val="Hyperlink"/>
            <w:rFonts w:cs="Arial" w:ascii="Arial" w:hAnsi="Arial"/>
            <w:sz w:val="22"/>
            <w:szCs w:val="22"/>
          </w:rPr>
          <w:t>orcid</w:t>
        </w:r>
      </w:hyperlink>
    </w:p>
    <w:p>
      <w:pPr>
        <w:pStyle w:val="Normal"/>
        <w:spacing w:lineRule="auto" w:line="240" w:before="0" w:after="80"/>
        <w:rPr/>
      </w:pPr>
      <w:r>
        <w:rPr/>
      </w:r>
    </w:p>
    <w:p>
      <w:pPr>
        <w:pStyle w:val="BodyText"/>
        <w:rPr/>
      </w:pPr>
      <w:r>
        <w:rPr/>
        <w:t>&lt;&lt;insert here&gt;&gt;</w:t>
      </w:r>
    </w:p>
    <w:p>
      <w:pPr>
        <w:pStyle w:val="Heading2"/>
        <w:rPr/>
      </w:pPr>
      <w:r>
        <w:rPr/>
      </w:r>
    </w:p>
    <w:p>
      <w:pPr>
        <w:pStyle w:val="cvheader1"/>
        <w:rPr/>
      </w:pPr>
      <w:bookmarkStart w:id="0" w:name="teaching-and-scientific-training"/>
      <w:r>
        <w:rPr/>
        <w:t>Teaching and Scientific Training</w:t>
      </w:r>
    </w:p>
    <w:p>
      <w:pPr>
        <w:pStyle w:val="cvbody"/>
        <w:rPr/>
      </w:pPr>
      <w:r>
        <w:rPr/>
        <w:t>My teaching connects scientific instrumentation with quantitative analysis and interpretation. Through lectures, laboratory instruction, and research training, I have taught the optical physics of laser-scanning microscopy, image formation, the physical limits of light microscopy, and signal-detection principles relevant to both imaging and electrophysiology.</w:t>
      </w:r>
    </w:p>
    <w:p>
      <w:pPr>
        <w:pStyle w:val="cvbody"/>
        <w:rPr/>
      </w:pPr>
      <w:r>
        <w:rPr/>
        <w:t>I also designed and taught an undergraduate Internet of Things (IOT) course as instructor of record for three years. The course combined lectures with hands-on laboratories in which students programmed microcontrollers, wired simple circuits and sensors, and connected them into distributed systems using internet dashboards. Lectures examined biometric IOT devices for monitoring human health and disease progression. They also considered how longitudinal data collected across large human populations can enable new scientific questions, discoveries, and potential health care improvements.</w:t>
      </w:r>
      <w:bookmarkEnd w:id="0"/>
    </w:p>
    <w:p>
      <w:pPr>
        <w:pStyle w:val="cvheader1"/>
        <w:rPr/>
      </w:pPr>
      <w:r>
        <w:rPr/>
        <w:t>Research Software Platforms</w:t>
      </w:r>
    </w:p>
    <w:p>
      <w:pPr>
        <w:pStyle w:val="cvheader2"/>
        <w:rPr/>
      </w:pPr>
      <w:bookmarkStart w:id="1" w:name="cloudscope-suite"/>
      <w:r>
        <w:rPr/>
        <w:t>CloudScope Suite</w:t>
      </w:r>
    </w:p>
    <w:p>
      <w:pPr>
        <w:pStyle w:val="cvbody"/>
        <w:rPr/>
      </w:pPr>
      <w:r>
        <w:rPr/>
        <w:t>Imaging workflows often divide raw data, automated analysis, manual review, saved results, and publication among disconnected tools and processes. They may also depend on one-off scripts whose precise code, assumptions, algorithms, and detection parameters are difficult to preserve or reuse. The CloudScope suite addresses these problems through a continuous pipeline from raw imaging data through quantitative analysis, scientific curation, publication, and reuse.</w:t>
      </w:r>
    </w:p>
    <w:p>
      <w:pPr>
        <w:pStyle w:val="cvbody"/>
        <w:rPr/>
      </w:pPr>
      <w:hyperlink r:id="rId5">
        <w:r>
          <w:rPr>
            <w:rStyle w:val="Hyperlink"/>
          </w:rPr>
          <w:t>CloudScope</w:t>
        </w:r>
      </w:hyperlink>
      <w:r>
        <w:rPr/>
        <w:t xml:space="preserve"> is a desktop application for macOS and Windows. Researchers use its graphical interface to load and visualize images, run analyses, inspect results, and curate the resulting data. Its semi-automated workflows allow potentially hundreds of raw image files to be analyzed efficiently while retaining human scientific judgment. Current analysis domains focus on kymograph line-scan images and include capillary blood-flow velocity, heartbeat derived from velocity, diameter changes in cardiac myocytes and smooth muscle, and peak detection from fluorescent reporters such as GCaMP calcium and ATP reporters.</w:t>
      </w:r>
    </w:p>
    <w:p>
      <w:pPr>
        <w:pStyle w:val="cvbody"/>
        <w:rPr/>
      </w:pPr>
      <w:r>
        <w:rPr/>
        <w:t xml:space="preserve">CloudScope uses </w:t>
      </w:r>
      <w:hyperlink r:id="rId6">
        <w:r>
          <w:rPr>
            <w:rStyle w:val="Hyperlink"/>
          </w:rPr>
          <w:t>AcqStore</w:t>
        </w:r>
      </w:hyperlink>
      <w:r>
        <w:rPr/>
        <w:t xml:space="preserve"> as its Python analysis backend. Analysis algorithms are implemented in AcqStore and made accessible to researchers through CloudScope’s graphical interface. AcqStore also loads raw images, including proprietary microscope file formats. After analysis and curation, it saves the raw images, analysis methods, detection parameters, and results together in a self-contained dataset. This preserves the information needed to reconstruct how an analysis was performed even as analytical methods evolve. AcqStore can export Open Microscopy Environment Zarr (OME-Zarr) and Neurodata Without Borders (NWB) datasets for direct upload to public repositories such as the DANDI Archive and the Brain Image Library.</w:t>
      </w:r>
    </w:p>
    <w:p>
      <w:pPr>
        <w:pStyle w:val="cvbody"/>
        <w:rPr/>
      </w:pPr>
      <w:r>
        <w:rPr/>
        <w:t xml:space="preserve">To publish and share results, </w:t>
      </w:r>
      <w:hyperlink r:id="rId7">
        <w:r>
          <w:rPr>
            <w:rStyle w:val="Hyperlink"/>
          </w:rPr>
          <w:t>CloudScope-Web</w:t>
        </w:r>
      </w:hyperlink>
      <w:r>
        <w:rPr/>
        <w:t xml:space="preserve"> opens the same self-contained OME-Zarr datasets as interactive figures. It allows the raw data and analysis performed and curated in CloudScope to be presented with an interactive graphical interface on the web. A manuscript figure can therefore become a live, publicly accessible figure that remains connected to its analysis and underlying raw data. Readers can inspect reported results and use the accessible data for new analyses, hypotheses, model-building, and collaborations. CloudScope-Web does not require dedicated or complex server infrastructure, making these interactive figures easier to distribute with publications.</w:t>
      </w:r>
      <w:bookmarkEnd w:id="1"/>
    </w:p>
    <w:p>
      <w:pPr>
        <w:pStyle w:val="cvheader2"/>
        <w:rPr/>
      </w:pPr>
      <w:bookmarkStart w:id="2" w:name="sanpy"/>
      <w:r>
        <w:rPr/>
        <w:t>SanPy</w:t>
      </w:r>
    </w:p>
    <w:p>
      <w:pPr>
        <w:pStyle w:val="cvbody"/>
        <w:rPr/>
      </w:pPr>
      <w:r>
        <w:rPr/>
        <w:t>Electrophysiology analysis frequently depends on manual measurements or laboratory-specific scripts. SanPy provides automated action-potential detection, quantitative measurements, interactive visualization, plugins, and a documented Python API. Its graphical and scripting workflows use the same computational implementation for real-time experiments, offline analysis, and inspection of published analyzed datasets.</w:t>
      </w:r>
      <w:bookmarkEnd w:id="2"/>
    </w:p>
    <w:p>
      <w:pPr>
        <w:pStyle w:val="cvheader2"/>
        <w:rPr/>
      </w:pPr>
      <w:bookmarkStart w:id="3" w:name="mapmanager"/>
      <w:r>
        <w:rPr/>
        <w:t>MapManager</w:t>
      </w:r>
    </w:p>
    <w:p>
      <w:pPr>
        <w:pStyle w:val="cvbody"/>
        <w:rPr/>
      </w:pPr>
      <w:r>
        <w:rPr/>
        <w:t>Longitudinal microscopy studies require researchers to connect measurements across imaging sessions that may span weeks or months. MapManager provides an open-source platform for annotation, visualization, and quantitative analysis of neuronal structure over time. It supports interactive review and curation of collections containing tens of thousands of annotations.</w:t>
      </w:r>
      <w:bookmarkEnd w:id="3"/>
    </w:p>
    <w:p>
      <w:pPr>
        <w:pStyle w:val="cvheader2"/>
        <w:rPr/>
      </w:pPr>
      <w:bookmarkStart w:id="4" w:name="pie"/>
      <w:r>
        <w:rPr/>
        <w:t>PiE</w:t>
      </w:r>
    </w:p>
    <w:p>
      <w:pPr>
        <w:pStyle w:val="cvbody"/>
        <w:rPr/>
      </w:pPr>
      <w:r>
        <w:rPr/>
        <w:t>Behavioral experiments often require custom hardware control, data acquisition, monitoring, and analysis. PiE integrates these functions through a web interface that supports remote experiment control and video monitoring. It reduces experimenter interference while providing a reusable framework for behavioral research.</w:t>
      </w:r>
      <w:bookmarkEnd w:id="4"/>
    </w:p>
    <w:p>
      <w:pPr>
        <w:pStyle w:val="cvheader2"/>
        <w:rPr/>
      </w:pPr>
      <w:bookmarkStart w:id="5" w:name="brightest-path"/>
      <w:r>
        <w:rPr/>
        <w:t>Brightest Path</w:t>
      </w:r>
    </w:p>
    <w:p>
      <w:pPr>
        <w:pStyle w:val="cvbody"/>
        <w:rPr/>
      </w:pPr>
      <w:r>
        <w:rPr/>
        <w:t>Brightest Path provides a tested, documented Python package for tracing brightest paths through n-dimensional scientific images. It makes a reusable image-analysis method available to other scientific projects without requiring each project to reimplement the algorithm.</w:t>
      </w:r>
      <w:bookmarkEnd w:id="5"/>
    </w:p>
    <w:p>
      <w:pPr>
        <w:pStyle w:val="cvheader1"/>
        <w:rPr/>
      </w:pPr>
      <w:r>
        <w:rPr/>
        <w:t>Project Resources</w:t>
      </w:r>
    </w:p>
    <w:tbl>
      <w:tblPr>
        <w:tblStyle w:val="Table"/>
        <w:tblW w:w="5000" w:type="pct"/>
        <w:jc w:val="start"/>
        <w:tblInd w:w="-113" w:type="dxa"/>
        <w:tblLayout w:type="fixed"/>
        <w:tblCellMar>
          <w:top w:w="55" w:type="dxa"/>
          <w:start w:w="108" w:type="dxa"/>
          <w:bottom w:w="55" w:type="dxa"/>
          <w:end w:w="108" w:type="dxa"/>
        </w:tblCellMar>
        <w:tblLook w:noHBand="0" w:lastColumn="0" w:firstColumn="0" w:lastRow="0" w:firstRow="1" w:noVBand="0" w:val="0020"/>
      </w:tblPr>
      <w:tblGrid>
        <w:gridCol w:w="2041"/>
        <w:gridCol w:w="3829"/>
        <w:gridCol w:w="1171"/>
        <w:gridCol w:w="1800"/>
        <w:gridCol w:w="1383"/>
      </w:tblGrid>
      <w:tr>
        <w:trPr>
          <w:tblHeader w:val="true"/>
        </w:trPr>
        <w:tc>
          <w:tcPr>
            <w:tcW w:w="2041" w:type="dxa"/>
            <w:tcBorders>
              <w:top w:val="single" w:sz="4" w:space="0" w:color="000000"/>
              <w:start w:val="single" w:sz="4" w:space="0" w:color="000000"/>
              <w:bottom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t>CloudScope</w:t>
            </w:r>
          </w:p>
        </w:tc>
        <w:tc>
          <w:tcPr>
            <w:tcW w:w="3829" w:type="dxa"/>
            <w:tcBorders>
              <w:top w:val="single" w:sz="4" w:space="0" w:color="000000"/>
              <w:start w:val="single" w:sz="4" w:space="0" w:color="000000"/>
              <w:bottom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t>Graphical analysis and curation of microscopy data</w:t>
            </w:r>
          </w:p>
        </w:tc>
        <w:tc>
          <w:tcPr>
            <w:tcW w:w="1171" w:type="dxa"/>
            <w:tcBorders>
              <w:top w:val="single" w:sz="4" w:space="0" w:color="000000"/>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8">
              <w:r>
                <w:rPr>
                  <w:rStyle w:val="Hyperlink"/>
                  <w:rFonts w:eastAsia="" w:cs=""/>
                  <w:kern w:val="0"/>
                  <w:sz w:val="22"/>
                  <w:szCs w:val="22"/>
                  <w:lang w:val="en-US" w:eastAsia="zh-CN" w:bidi="ar-SA"/>
                </w:rPr>
                <w:t>GitHub</w:t>
              </w:r>
            </w:hyperlink>
          </w:p>
        </w:tc>
        <w:tc>
          <w:tcPr>
            <w:tcW w:w="1800" w:type="dxa"/>
            <w:tcBorders>
              <w:top w:val="single" w:sz="4" w:space="0" w:color="000000"/>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9">
              <w:r>
                <w:rPr>
                  <w:rStyle w:val="Hyperlink"/>
                  <w:rFonts w:eastAsia="" w:cs=""/>
                  <w:kern w:val="0"/>
                  <w:sz w:val="22"/>
                  <w:szCs w:val="22"/>
                  <w:lang w:val="en-US" w:eastAsia="zh-CN" w:bidi="ar-SA"/>
                </w:rPr>
                <w:t>Documentation</w:t>
              </w:r>
            </w:hyperlink>
          </w:p>
        </w:tc>
        <w:tc>
          <w:tcPr>
            <w:tcW w:w="1383"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rPr>
                <w:rFonts w:eastAsia="" w:cs=""/>
                <w:kern w:val="0"/>
                <w:szCs w:val="24"/>
                <w:lang w:val="en-US" w:eastAsia="zh-CN" w:bidi="ar-SA"/>
              </w:rPr>
            </w:pPr>
            <w:r>
              <w:rPr>
                <w:rStyle w:val="Hyperlink"/>
                <w:rFonts w:eastAsia="" w:cs=""/>
                <w:kern w:val="0"/>
                <w:sz w:val="22"/>
                <w:szCs w:val="22"/>
                <w:lang w:val="en-US" w:eastAsia="zh-CN" w:bidi="ar-SA"/>
              </w:rPr>
              <w:t>Web App</w:t>
            </w:r>
          </w:p>
        </w:tc>
      </w:tr>
      <w:tr>
        <w:trPr/>
        <w:tc>
          <w:tcPr>
            <w:tcW w:w="2041" w:type="dxa"/>
            <w:tcBorders>
              <w:start w:val="single" w:sz="4" w:space="0" w:color="000000"/>
              <w:bottom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t>AcqStore</w:t>
            </w:r>
          </w:p>
        </w:tc>
        <w:tc>
          <w:tcPr>
            <w:tcW w:w="3829" w:type="dxa"/>
            <w:tcBorders>
              <w:start w:val="single" w:sz="4" w:space="0" w:color="000000"/>
              <w:bottom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t>Reproducible image loading, analysis, and data export</w:t>
            </w:r>
          </w:p>
        </w:tc>
        <w:tc>
          <w:tcPr>
            <w:tcW w:w="1171"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10">
              <w:r>
                <w:rPr>
                  <w:rStyle w:val="Hyperlink"/>
                  <w:rFonts w:eastAsia="" w:cs=""/>
                  <w:kern w:val="0"/>
                  <w:sz w:val="22"/>
                  <w:szCs w:val="22"/>
                  <w:lang w:val="en-US" w:eastAsia="zh-CN" w:bidi="ar-SA"/>
                </w:rPr>
                <w:t>GitHub</w:t>
              </w:r>
            </w:hyperlink>
          </w:p>
        </w:tc>
        <w:tc>
          <w:tcPr>
            <w:tcW w:w="1800"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11">
              <w:r>
                <w:rPr>
                  <w:rStyle w:val="Hyperlink"/>
                  <w:rFonts w:eastAsia="" w:cs=""/>
                  <w:kern w:val="0"/>
                  <w:sz w:val="22"/>
                  <w:szCs w:val="22"/>
                  <w:lang w:val="en-US" w:eastAsia="zh-CN" w:bidi="ar-SA"/>
                </w:rPr>
                <w:t>Documentation</w:t>
              </w:r>
            </w:hyperlink>
          </w:p>
        </w:tc>
        <w:tc>
          <w:tcPr>
            <w:tcW w:w="1383" w:type="dxa"/>
            <w:tcBorders>
              <w:start w:val="single" w:sz="4" w:space="0" w:color="000000"/>
              <w:bottom w:val="single" w:sz="4" w:space="0" w:color="000000"/>
              <w:end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r>
          </w:p>
        </w:tc>
      </w:tr>
      <w:tr>
        <w:trPr/>
        <w:tc>
          <w:tcPr>
            <w:tcW w:w="2041" w:type="dxa"/>
            <w:tcBorders>
              <w:start w:val="single" w:sz="4" w:space="0" w:color="000000"/>
              <w:bottom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t>CloudScope-Web</w:t>
            </w:r>
          </w:p>
        </w:tc>
        <w:tc>
          <w:tcPr>
            <w:tcW w:w="3829" w:type="dxa"/>
            <w:tcBorders>
              <w:start w:val="single" w:sz="4" w:space="0" w:color="000000"/>
              <w:bottom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t>Interactive publication of imaging data and results</w:t>
            </w:r>
          </w:p>
        </w:tc>
        <w:tc>
          <w:tcPr>
            <w:tcW w:w="1171"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12">
              <w:r>
                <w:rPr>
                  <w:rStyle w:val="Hyperlink"/>
                  <w:rFonts w:eastAsia="" w:cs=""/>
                  <w:kern w:val="0"/>
                  <w:sz w:val="22"/>
                  <w:szCs w:val="22"/>
                  <w:lang w:val="en-US" w:eastAsia="zh-CN" w:bidi="ar-SA"/>
                </w:rPr>
                <w:t>GitHub</w:t>
              </w:r>
            </w:hyperlink>
          </w:p>
        </w:tc>
        <w:tc>
          <w:tcPr>
            <w:tcW w:w="1800"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13">
              <w:r>
                <w:rPr>
                  <w:rStyle w:val="Hyperlink"/>
                  <w:rFonts w:eastAsia="" w:cs=""/>
                  <w:kern w:val="0"/>
                  <w:sz w:val="22"/>
                  <w:szCs w:val="22"/>
                  <w:lang w:val="en-US" w:eastAsia="zh-CN" w:bidi="ar-SA"/>
                </w:rPr>
                <w:t>Documentation</w:t>
              </w:r>
            </w:hyperlink>
          </w:p>
        </w:tc>
        <w:tc>
          <w:tcPr>
            <w:tcW w:w="1383" w:type="dxa"/>
            <w:tcBorders>
              <w:start w:val="single" w:sz="4" w:space="0" w:color="000000"/>
              <w:bottom w:val="single" w:sz="4" w:space="0" w:color="000000"/>
              <w:end w:val="single" w:sz="4" w:space="0" w:color="000000"/>
            </w:tcBorders>
          </w:tcPr>
          <w:p>
            <w:pPr>
              <w:pStyle w:val="Compact"/>
              <w:widowControl/>
              <w:spacing w:before="36" w:after="36"/>
              <w:rPr>
                <w:rFonts w:eastAsia="" w:cs=""/>
                <w:kern w:val="0"/>
                <w:szCs w:val="24"/>
                <w:lang w:val="en-US" w:eastAsia="zh-CN" w:bidi="ar-SA"/>
              </w:rPr>
            </w:pPr>
            <w:r>
              <w:rPr>
                <w:rStyle w:val="Hyperlink"/>
                <w:rFonts w:eastAsia="" w:cs=""/>
                <w:kern w:val="0"/>
                <w:sz w:val="22"/>
                <w:szCs w:val="22"/>
                <w:lang w:val="en-US" w:eastAsia="zh-CN" w:bidi="ar-SA"/>
              </w:rPr>
              <w:t>Web App</w:t>
            </w:r>
          </w:p>
        </w:tc>
      </w:tr>
      <w:tr>
        <w:trPr/>
        <w:tc>
          <w:tcPr>
            <w:tcW w:w="2041" w:type="dxa"/>
            <w:tcBorders>
              <w:start w:val="single" w:sz="4" w:space="0" w:color="000000"/>
              <w:bottom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t>SanPy</w:t>
            </w:r>
          </w:p>
        </w:tc>
        <w:tc>
          <w:tcPr>
            <w:tcW w:w="3829" w:type="dxa"/>
            <w:tcBorders>
              <w:start w:val="single" w:sz="4" w:space="0" w:color="000000"/>
              <w:bottom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t>Electrophysiology analysis and visualization</w:t>
            </w:r>
          </w:p>
        </w:tc>
        <w:tc>
          <w:tcPr>
            <w:tcW w:w="1171"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14">
              <w:r>
                <w:rPr>
                  <w:rStyle w:val="Hyperlink"/>
                  <w:rFonts w:eastAsia="" w:cs=""/>
                  <w:kern w:val="0"/>
                  <w:sz w:val="22"/>
                  <w:szCs w:val="22"/>
                  <w:lang w:val="en-US" w:eastAsia="zh-CN" w:bidi="ar-SA"/>
                </w:rPr>
                <w:t>GitHub</w:t>
              </w:r>
            </w:hyperlink>
          </w:p>
        </w:tc>
        <w:tc>
          <w:tcPr>
            <w:tcW w:w="1800"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15">
              <w:r>
                <w:rPr>
                  <w:rStyle w:val="Hyperlink"/>
                  <w:rFonts w:eastAsia="" w:cs=""/>
                  <w:kern w:val="0"/>
                  <w:sz w:val="22"/>
                  <w:szCs w:val="22"/>
                  <w:lang w:val="en-US" w:eastAsia="zh-CN" w:bidi="ar-SA"/>
                </w:rPr>
                <w:t>Documentation</w:t>
              </w:r>
            </w:hyperlink>
          </w:p>
        </w:tc>
        <w:tc>
          <w:tcPr>
            <w:tcW w:w="1383" w:type="dxa"/>
            <w:tcBorders>
              <w:start w:val="single" w:sz="4" w:space="0" w:color="000000"/>
              <w:bottom w:val="single" w:sz="4" w:space="0" w:color="000000"/>
              <w:end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r>
          </w:p>
        </w:tc>
      </w:tr>
      <w:tr>
        <w:trPr/>
        <w:tc>
          <w:tcPr>
            <w:tcW w:w="2041"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r>
              <w:rPr>
                <w:rFonts w:eastAsia="" w:cs=""/>
                <w:kern w:val="0"/>
                <w:szCs w:val="24"/>
                <w:lang w:val="en-US" w:eastAsia="zh-CN" w:bidi="ar-SA"/>
              </w:rPr>
              <w:t>MapManager</w:t>
            </w:r>
          </w:p>
        </w:tc>
        <w:tc>
          <w:tcPr>
            <w:tcW w:w="3829"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r>
              <w:rPr>
                <w:rFonts w:eastAsia="" w:cs=""/>
                <w:kern w:val="0"/>
                <w:szCs w:val="24"/>
                <w:lang w:val="en-US" w:eastAsia="zh-CN" w:bidi="ar-SA"/>
              </w:rPr>
              <w:t>Longitudinal analysis of neuronal structure</w:t>
            </w:r>
          </w:p>
        </w:tc>
        <w:tc>
          <w:tcPr>
            <w:tcW w:w="1171"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16">
              <w:r>
                <w:rPr>
                  <w:rStyle w:val="Hyperlink"/>
                  <w:rFonts w:eastAsia="" w:cs=""/>
                  <w:kern w:val="0"/>
                  <w:szCs w:val="24"/>
                  <w:lang w:val="en-US" w:eastAsia="zh-CN" w:bidi="ar-SA"/>
                </w:rPr>
                <w:t>GitHub</w:t>
              </w:r>
            </w:hyperlink>
          </w:p>
        </w:tc>
        <w:tc>
          <w:tcPr>
            <w:tcW w:w="1800"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17">
              <w:r>
                <w:rPr>
                  <w:rStyle w:val="Hyperlink"/>
                  <w:rFonts w:eastAsia="" w:cs=""/>
                  <w:kern w:val="0"/>
                  <w:szCs w:val="24"/>
                  <w:lang w:val="en-US" w:eastAsia="zh-CN" w:bidi="ar-SA"/>
                </w:rPr>
                <w:t>Documentation</w:t>
              </w:r>
            </w:hyperlink>
          </w:p>
        </w:tc>
        <w:tc>
          <w:tcPr>
            <w:tcW w:w="1383" w:type="dxa"/>
            <w:tcBorders>
              <w:start w:val="single" w:sz="4" w:space="0" w:color="000000"/>
              <w:bottom w:val="single" w:sz="4" w:space="0" w:color="000000"/>
              <w:end w:val="single" w:sz="4" w:space="0" w:color="000000"/>
            </w:tcBorders>
          </w:tcPr>
          <w:p>
            <w:pPr>
              <w:pStyle w:val="Compact"/>
              <w:widowControl/>
              <w:spacing w:before="36" w:after="36"/>
              <w:rPr>
                <w:rFonts w:eastAsia="" w:cs=""/>
                <w:kern w:val="0"/>
                <w:szCs w:val="24"/>
                <w:lang w:val="en-US" w:eastAsia="zh-CN" w:bidi="ar-SA"/>
              </w:rPr>
            </w:pPr>
            <w:hyperlink r:id="rId18">
              <w:r>
                <w:rPr>
                  <w:rStyle w:val="Hyperlink"/>
                  <w:rFonts w:eastAsia="" w:cs=""/>
                  <w:kern w:val="0"/>
                  <w:szCs w:val="24"/>
                  <w:lang w:val="en-US" w:eastAsia="zh-CN" w:bidi="ar-SA"/>
                </w:rPr>
                <w:t>W</w:t>
              </w:r>
            </w:hyperlink>
            <w:r>
              <w:rPr>
                <w:rStyle w:val="Hyperlink"/>
                <w:rFonts w:eastAsia="" w:cs=""/>
                <w:kern w:val="0"/>
                <w:szCs w:val="24"/>
                <w:lang w:val="en-US" w:eastAsia="zh-CN" w:bidi="ar-SA"/>
              </w:rPr>
              <w:t>eb App</w:t>
            </w:r>
          </w:p>
        </w:tc>
      </w:tr>
      <w:tr>
        <w:trPr/>
        <w:tc>
          <w:tcPr>
            <w:tcW w:w="2041"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r>
              <w:rPr>
                <w:rFonts w:eastAsia="" w:cs=""/>
                <w:kern w:val="0"/>
                <w:szCs w:val="24"/>
                <w:lang w:val="en-US" w:eastAsia="zh-CN" w:bidi="ar-SA"/>
              </w:rPr>
              <w:t>PiE</w:t>
            </w:r>
          </w:p>
        </w:tc>
        <w:tc>
          <w:tcPr>
            <w:tcW w:w="3829"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r>
              <w:rPr>
                <w:rFonts w:eastAsia="" w:cs=""/>
                <w:kern w:val="0"/>
                <w:szCs w:val="24"/>
                <w:lang w:val="en-US" w:eastAsia="zh-CN" w:bidi="ar-SA"/>
              </w:rPr>
              <w:t>Remote control and monitoring of behavioral experiments</w:t>
            </w:r>
          </w:p>
        </w:tc>
        <w:tc>
          <w:tcPr>
            <w:tcW w:w="1171"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19">
              <w:r>
                <w:rPr>
                  <w:rStyle w:val="Hyperlink"/>
                  <w:rFonts w:eastAsia="" w:cs=""/>
                  <w:kern w:val="0"/>
                  <w:szCs w:val="24"/>
                  <w:lang w:val="en-US" w:eastAsia="zh-CN" w:bidi="ar-SA"/>
                </w:rPr>
                <w:t>GitHub</w:t>
              </w:r>
            </w:hyperlink>
          </w:p>
        </w:tc>
        <w:tc>
          <w:tcPr>
            <w:tcW w:w="1800"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20">
              <w:r>
                <w:rPr>
                  <w:rStyle w:val="Hyperlink"/>
                  <w:rFonts w:eastAsia="" w:cs=""/>
                  <w:kern w:val="0"/>
                  <w:szCs w:val="24"/>
                  <w:lang w:val="en-US" w:eastAsia="zh-CN" w:bidi="ar-SA"/>
                </w:rPr>
                <w:t>Documentation</w:t>
              </w:r>
            </w:hyperlink>
          </w:p>
        </w:tc>
        <w:tc>
          <w:tcPr>
            <w:tcW w:w="1383" w:type="dxa"/>
            <w:tcBorders>
              <w:start w:val="single" w:sz="4" w:space="0" w:color="000000"/>
              <w:bottom w:val="single" w:sz="4" w:space="0" w:color="000000"/>
              <w:end w:val="single" w:sz="4" w:space="0" w:color="000000"/>
            </w:tcBorders>
          </w:tcPr>
          <w:p>
            <w:pPr>
              <w:pStyle w:val="Compact"/>
              <w:widowControl/>
              <w:spacing w:before="36" w:after="36"/>
              <w:rPr>
                <w:rFonts w:eastAsia="" w:cs=""/>
                <w:kern w:val="0"/>
                <w:szCs w:val="24"/>
                <w:lang w:val="en-US" w:eastAsia="zh-CN" w:bidi="ar-SA"/>
              </w:rPr>
            </w:pPr>
            <w:r>
              <w:rPr>
                <w:rFonts w:eastAsia="" w:cs=""/>
                <w:kern w:val="0"/>
                <w:szCs w:val="24"/>
                <w:lang w:val="en-US" w:eastAsia="zh-CN" w:bidi="ar-SA"/>
              </w:rPr>
            </w:r>
          </w:p>
        </w:tc>
      </w:tr>
      <w:tr>
        <w:trPr/>
        <w:tc>
          <w:tcPr>
            <w:tcW w:w="2041"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r>
              <w:rPr>
                <w:rFonts w:eastAsia="" w:cs=""/>
                <w:kern w:val="0"/>
                <w:szCs w:val="24"/>
                <w:lang w:val="en-US" w:eastAsia="zh-CN" w:bidi="ar-SA"/>
              </w:rPr>
              <w:t>Brightest Path</w:t>
            </w:r>
          </w:p>
        </w:tc>
        <w:tc>
          <w:tcPr>
            <w:tcW w:w="3829"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r>
              <w:rPr>
                <w:rFonts w:eastAsia="" w:cs=""/>
                <w:kern w:val="0"/>
                <w:szCs w:val="24"/>
                <w:lang w:val="en-US" w:eastAsia="zh-CN" w:bidi="ar-SA"/>
              </w:rPr>
              <w:t>Reusable path tracing for n-dimensional images</w:t>
            </w:r>
          </w:p>
        </w:tc>
        <w:tc>
          <w:tcPr>
            <w:tcW w:w="1171"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21">
              <w:r>
                <w:rPr>
                  <w:rStyle w:val="Hyperlink"/>
                  <w:rFonts w:eastAsia="" w:cs=""/>
                  <w:kern w:val="0"/>
                  <w:szCs w:val="24"/>
                  <w:lang w:val="en-US" w:eastAsia="zh-CN" w:bidi="ar-SA"/>
                </w:rPr>
                <w:t>GitHub</w:t>
              </w:r>
            </w:hyperlink>
          </w:p>
        </w:tc>
        <w:tc>
          <w:tcPr>
            <w:tcW w:w="1800"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22">
              <w:r>
                <w:rPr>
                  <w:rStyle w:val="Hyperlink"/>
                  <w:rFonts w:eastAsia="" w:cs=""/>
                  <w:kern w:val="0"/>
                  <w:szCs w:val="24"/>
                  <w:lang w:val="en-US" w:eastAsia="zh-CN" w:bidi="ar-SA"/>
                </w:rPr>
                <w:t>Documentation</w:t>
              </w:r>
            </w:hyperlink>
          </w:p>
        </w:tc>
        <w:tc>
          <w:tcPr>
            <w:tcW w:w="1383" w:type="dxa"/>
            <w:tcBorders>
              <w:start w:val="single" w:sz="4" w:space="0" w:color="000000"/>
              <w:bottom w:val="single" w:sz="4" w:space="0" w:color="000000"/>
              <w:end w:val="single" w:sz="4" w:space="0" w:color="000000"/>
            </w:tcBorders>
          </w:tcPr>
          <w:p>
            <w:pPr>
              <w:pStyle w:val="Compact"/>
              <w:widowControl/>
              <w:spacing w:before="36" w:after="36"/>
              <w:rPr>
                <w:rFonts w:eastAsia="" w:cs=""/>
                <w:kern w:val="0"/>
                <w:szCs w:val="24"/>
                <w:lang w:val="en-US" w:eastAsia="zh-CN" w:bidi="ar-SA"/>
              </w:rPr>
            </w:pPr>
            <w:r>
              <w:rPr>
                <w:rFonts w:eastAsia="" w:cs=""/>
                <w:kern w:val="0"/>
                <w:szCs w:val="24"/>
                <w:lang w:val="en-US" w:eastAsia="zh-CN" w:bidi="ar-SA"/>
              </w:rPr>
            </w:r>
            <w:bookmarkStart w:id="6" w:name="project-resources"/>
            <w:bookmarkStart w:id="7" w:name="research-software-platforms"/>
            <w:bookmarkEnd w:id="6"/>
            <w:bookmarkEnd w:id="7"/>
          </w:p>
        </w:tc>
      </w:tr>
    </w:tbl>
    <w:p>
      <w:pPr>
        <w:pStyle w:val="cvheader1"/>
        <w:rPr/>
      </w:pPr>
      <w:r>
        <w:rPr/>
      </w:r>
    </w:p>
    <w:p>
      <w:pPr>
        <w:pStyle w:val="cvheader1"/>
        <w:rPr/>
      </w:pPr>
      <w:r>
        <w:rPr/>
        <w:t>Technical Skills</w:t>
      </w:r>
    </w:p>
    <w:p>
      <w:pPr>
        <w:pStyle w:val="cvbody"/>
        <w:rPr/>
      </w:pPr>
      <w:r>
        <w:rPr>
          <w:b/>
          <w:bCs/>
        </w:rPr>
        <w:t>Programming languages:</w:t>
      </w:r>
      <w:r>
        <w:rPr/>
        <w:t xml:space="preserve"> Python, C, C++, Igor Pro, Bash</w:t>
      </w:r>
    </w:p>
    <w:p>
      <w:pPr>
        <w:pStyle w:val="cvbody"/>
        <w:rPr/>
      </w:pPr>
      <w:r>
        <w:rPr>
          <w:b/>
          <w:bCs/>
        </w:rPr>
        <w:t>Scientific computing:</w:t>
      </w:r>
      <w:r>
        <w:rPr/>
        <w:t xml:space="preserve"> NumPy, SciPy, pandas, Numba, scikit-image, parallel and concurrent programming</w:t>
      </w:r>
    </w:p>
    <w:p>
      <w:pPr>
        <w:pStyle w:val="cvbody"/>
        <w:rPr/>
      </w:pPr>
      <w:r>
        <w:rPr>
          <w:b/>
          <w:bCs/>
        </w:rPr>
        <w:t>Scientific visualization and user interfaces:</w:t>
      </w:r>
      <w:r>
        <w:rPr/>
        <w:t xml:space="preserve"> PyQt, pyqtgraph, napari, NiceGUI, Plotly, Matplotlib, pywebview</w:t>
      </w:r>
    </w:p>
    <w:p>
      <w:pPr>
        <w:pStyle w:val="cvbody"/>
        <w:rPr/>
      </w:pPr>
      <w:r>
        <w:rPr>
          <w:b/>
          <w:bCs/>
        </w:rPr>
        <w:t>Scientific data and scalable storage:</w:t>
      </w:r>
      <w:r>
        <w:rPr/>
        <w:t xml:space="preserve"> HDF5, Zarr, OME-Zarr/OME-NGFF, s3fs, lazy and chunked array access, multiscale image pyramids</w:t>
      </w:r>
    </w:p>
    <w:p>
      <w:pPr>
        <w:pStyle w:val="cvbody"/>
        <w:rPr/>
      </w:pPr>
      <w:r>
        <w:rPr>
          <w:b/>
          <w:bCs/>
        </w:rPr>
        <w:t>Web applications and APIs:</w:t>
      </w:r>
      <w:r>
        <w:rPr/>
        <w:t xml:space="preserve"> HTML, JavaScript, TypeScript, Node.js, Vue, Vite, Pyodide/WebAssembly, FastAPI, Uvicorn, Pydantic, RESTful HTTP/JSON APIs, OpenAPI, httpx</w:t>
      </w:r>
    </w:p>
    <w:p>
      <w:pPr>
        <w:pStyle w:val="cvbody"/>
        <w:rPr/>
      </w:pPr>
      <w:r>
        <w:rPr>
          <w:b/>
          <w:bCs/>
        </w:rPr>
        <w:t>Software engineering and documentation:</w:t>
      </w:r>
      <w:r>
        <w:rPr/>
        <w:t xml:space="preserve"> Git, GitHub, pytest, GitHub Actions, uv, MkDocs, Python API documentation, end-user and developer documentation</w:t>
      </w:r>
    </w:p>
    <w:p>
      <w:pPr>
        <w:pStyle w:val="cvbody"/>
        <w:rPr/>
      </w:pPr>
      <w:r>
        <w:rPr>
          <w:b/>
          <w:bCs/>
        </w:rPr>
        <w:t>Packaging and deployment:</w:t>
      </w:r>
      <w:r>
        <w:rPr/>
        <w:t xml:space="preserve"> Docker, Docker Compose, nginx, PyInstaller, cross-platform desktop application packaging for macOS and Windows, Linux-based development and CI environments</w:t>
      </w:r>
    </w:p>
    <w:p>
      <w:pPr>
        <w:pStyle w:val="cvbody"/>
        <w:rPr/>
      </w:pPr>
      <w:r>
        <w:rPr>
          <w:b/>
          <w:bCs/>
        </w:rPr>
        <w:t>Scientific and image analysis:</w:t>
      </w:r>
      <w:r>
        <w:rPr/>
        <w:t xml:space="preserve"> quantitative microscopy, electrophysiology and time-series analysis, image segmentation, ROI-based quantification, longitudinal image annotation analysis, brightest-path tracing</w:t>
      </w:r>
    </w:p>
    <w:p>
      <w:pPr>
        <w:pStyle w:val="cvbody"/>
        <w:rPr/>
      </w:pPr>
      <w:r>
        <w:rPr>
          <w:b/>
          <w:bCs/>
        </w:rPr>
        <w:t>Scientific instrumentation and data acquisition:</w:t>
      </w:r>
      <w:r>
        <w:rPr/>
        <w:t xml:space="preserve"> laser-scanning microscopy, custom microscopy and electrophysiology acquisition systems, whole-cell current- and voltage-clamp electrophysiology, real-time data acquisition and visualization, Arduino-based instrumentation, remote experiment control and video monitoring</w:t>
      </w:r>
    </w:p>
    <w:p>
      <w:pPr>
        <w:pStyle w:val="cvheader1"/>
        <w:rPr>
          <w:rFonts w:ascii="Arial" w:hAnsi="Arial" w:cs="Arial"/>
          <w:b/>
          <w:bCs/>
          <w:sz w:val="22"/>
          <w:szCs w:val="22"/>
          <w:u w:val="single"/>
        </w:rPr>
      </w:pPr>
      <w:r>
        <w:rPr/>
        <w:t>Employment</w:t>
      </w:r>
    </w:p>
    <w:p>
      <w:pPr>
        <w:pStyle w:val="Normal"/>
        <w:spacing w:lineRule="auto" w:line="240" w:before="0" w:after="40"/>
        <w:rPr>
          <w:rFonts w:ascii="Arial" w:hAnsi="Arial" w:cs="Arial"/>
          <w:sz w:val="22"/>
          <w:szCs w:val="22"/>
        </w:rPr>
      </w:pPr>
      <w:r>
        <w:rPr>
          <w:rFonts w:cs="Arial" w:ascii="Arial" w:hAnsi="Arial"/>
          <w:sz w:val="22"/>
          <w:szCs w:val="22"/>
        </w:rPr>
        <w:t>2019-2026</w:t>
        <w:tab/>
        <w:t>Assistant Professor</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Department of Physiology and Membrane Biology</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School of Medicine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Affiliations: Computer Science Graduate Group, Neuroscience Graduate Group, DataLab</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University of California – Davis, CA</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2015-2019</w:t>
        <w:tab/>
        <w:t>Research Associate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Solomon H. Snyder Department of Neuroscience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The Johns Hopkins University School of Medicine, Baltimore, MD</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2009-2015</w:t>
        <w:tab/>
        <w:t>Postdoctoral Fellow</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Solomon H. Snyder Department of Neuroscience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The Johns Hopkins University School of Medicine, Baltimore, MD</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Advisor: David J Linden, Ph.D.</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2005–2009</w:t>
        <w:tab/>
        <w:t>Postdoctoral Fellow</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L'Unité de Neurobiologie des canaux Ioniques et de la Synapse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Université Aix Marseille, Marseille FRANCE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Advisor: Dominique Debanne, Ph.D.</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1993–1998</w:t>
        <w:tab/>
        <w:t>Scientific Software Engineer</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Roswell Park Cancer Institute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University at Buffalo, Buffalo, NY</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Advisor: Kenneth Manly, Ph.D.</w:t>
        <w:br/>
      </w:r>
    </w:p>
    <w:p>
      <w:pPr>
        <w:pStyle w:val="cvheader1"/>
        <w:rPr>
          <w:rFonts w:ascii="Arial" w:hAnsi="Arial" w:cs="Arial"/>
          <w:b/>
          <w:bCs/>
          <w:sz w:val="22"/>
          <w:szCs w:val="22"/>
          <w:u w:val="single"/>
        </w:rPr>
      </w:pPr>
      <w:r>
        <w:rPr/>
        <w:t>Education</w:t>
      </w:r>
    </w:p>
    <w:p>
      <w:pPr>
        <w:pStyle w:val="Normal"/>
        <w:spacing w:lineRule="auto" w:line="240" w:before="0" w:after="40"/>
        <w:rPr>
          <w:rFonts w:ascii="Arial" w:hAnsi="Arial" w:cs="Arial"/>
          <w:sz w:val="22"/>
          <w:szCs w:val="22"/>
        </w:rPr>
      </w:pPr>
      <w:r>
        <w:rPr>
          <w:rFonts w:cs="Arial" w:ascii="Arial" w:hAnsi="Arial"/>
          <w:sz w:val="22"/>
          <w:szCs w:val="22"/>
        </w:rPr>
        <w:t>1998–2004   Brandeis University, Ph.D. Neuroscience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Advisor: Gina G Turrigiano, Ph.D.</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1996–1998   University of Pennsylvania, Graduate studies</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School of Engineering, Department of Computer and Information Science</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1988–1992   State University of New York at Buffalo</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B.A. Computer Science, Joint degree Media Studies</w:t>
      </w:r>
    </w:p>
    <w:p>
      <w:pPr>
        <w:pStyle w:val="Normal"/>
        <w:spacing w:lineRule="auto" w:line="240" w:before="0" w:after="80"/>
        <w:rPr>
          <w:rFonts w:ascii="Arial" w:hAnsi="Arial" w:cs="Arial"/>
          <w:sz w:val="22"/>
          <w:szCs w:val="22"/>
        </w:rPr>
      </w:pPr>
      <w:r>
        <w:rPr>
          <w:rFonts w:cs="Arial" w:ascii="Arial" w:hAnsi="Arial"/>
          <w:sz w:val="22"/>
          <w:szCs w:val="22"/>
        </w:rPr>
      </w:r>
    </w:p>
    <w:p>
      <w:pPr>
        <w:pStyle w:val="cvheader1"/>
        <w:rPr>
          <w:rFonts w:ascii="Arial" w:hAnsi="Arial" w:cs="Arial"/>
          <w:b/>
          <w:bCs/>
          <w:sz w:val="22"/>
          <w:szCs w:val="22"/>
          <w:u w:val="single"/>
        </w:rPr>
      </w:pPr>
      <w:r>
        <w:rPr/>
        <w:t>Funding</w:t>
      </w:r>
    </w:p>
    <w:p>
      <w:pPr>
        <w:pStyle w:val="Normal"/>
        <w:spacing w:lineRule="auto" w:line="240" w:before="0" w:after="40"/>
        <w:rPr>
          <w:rFonts w:ascii="Arial" w:hAnsi="Arial" w:cs="Arial"/>
          <w:sz w:val="22"/>
          <w:szCs w:val="22"/>
        </w:rPr>
      </w:pPr>
      <w:r>
        <w:rPr>
          <w:rFonts w:cs="Arial" w:ascii="Arial" w:hAnsi="Arial"/>
          <w:sz w:val="22"/>
          <w:szCs w:val="22"/>
        </w:rPr>
        <w:t>2025-2026</w:t>
        <w:tab/>
        <w:t xml:space="preserve">NIH R01, NHLBI (5R01HL168874-02) </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Metabolic Control of Cardiac Pacemaking</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PI (with Santana LF and Clancy CE)</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2021-2025</w:t>
        <w:tab/>
        <w:t>NIH R01, BRAIN Initiative, NIMH (1R01MH123206-01A1)</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Map Manager: Software for image volume time-series analysis and sharing.</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PI</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2022-2023</w:t>
        <w:tab/>
        <w:t>Chan Zuckerberg Initiative (CZI).</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Napari plugin development.</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PI</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2022-2023</w:t>
        <w:tab/>
        <w:t>NHLBI, Supplement to RO1 (3R01HL152681-02S1).</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Personnel</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PI: Santana LF</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2016-2020</w:t>
        <w:tab/>
        <w:t>American Heart Association, Scientist Development Grant</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PI</w:t>
      </w:r>
    </w:p>
    <w:p>
      <w:pPr>
        <w:pStyle w:val="Normal"/>
        <w:spacing w:lineRule="auto" w:line="240" w:before="0" w:after="80"/>
        <w:rPr>
          <w:rFonts w:ascii="Arial" w:hAnsi="Arial" w:cs="Arial"/>
          <w:sz w:val="22"/>
          <w:szCs w:val="22"/>
        </w:rPr>
      </w:pPr>
      <w:r>
        <w:rPr>
          <w:rFonts w:cs="Arial" w:ascii="Arial" w:hAnsi="Arial"/>
          <w:sz w:val="22"/>
          <w:szCs w:val="22"/>
        </w:rPr>
      </w:r>
    </w:p>
    <w:p>
      <w:pPr>
        <w:pStyle w:val="cvheader1"/>
        <w:rPr>
          <w:rFonts w:ascii="Arial" w:hAnsi="Arial" w:cs="Arial"/>
          <w:b/>
          <w:bCs/>
          <w:sz w:val="22"/>
          <w:szCs w:val="22"/>
          <w:u w:val="single"/>
        </w:rPr>
      </w:pPr>
      <w:r>
        <w:rPr/>
        <w:t>Professional Service</w:t>
      </w:r>
    </w:p>
    <w:p>
      <w:pPr>
        <w:pStyle w:val="Normal"/>
        <w:spacing w:lineRule="auto" w:line="240" w:before="0" w:after="40"/>
        <w:rPr>
          <w:rFonts w:ascii="Arial" w:hAnsi="Arial" w:cs="Arial"/>
          <w:sz w:val="22"/>
          <w:szCs w:val="22"/>
        </w:rPr>
      </w:pPr>
      <w:r>
        <w:rPr>
          <w:rFonts w:cs="Arial" w:ascii="Arial" w:hAnsi="Arial"/>
          <w:sz w:val="22"/>
          <w:szCs w:val="22"/>
        </w:rPr>
        <w:t>2024/2025</w:t>
        <w:tab/>
        <w:t>NIH Research Software Engineer (RSE) Award, Study Section</w:t>
      </w:r>
    </w:p>
    <w:p>
      <w:pPr>
        <w:pStyle w:val="Normal"/>
        <w:spacing w:lineRule="auto" w:line="240" w:before="0" w:after="40"/>
        <w:rPr>
          <w:rFonts w:ascii="Arial" w:hAnsi="Arial" w:cs="Arial"/>
          <w:sz w:val="22"/>
          <w:szCs w:val="22"/>
        </w:rPr>
      </w:pPr>
      <w:r>
        <w:rPr>
          <w:rFonts w:cs="Arial" w:ascii="Arial" w:hAnsi="Arial"/>
          <w:sz w:val="22"/>
          <w:szCs w:val="22"/>
        </w:rPr>
        <w:t>2025</w:t>
        <w:tab/>
        <w:tab/>
        <w:t>NSF Graduate Research Fellowship Program (GRFP), Review Panel</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2015-2026</w:t>
        <w:tab/>
        <w:t>Manuscript Review</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Review Editor, Frontiers in Physiology (Vascular Physiology)</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Review Editor, Frontiers in Neuroscience (Neuroimaging – Brain Imaging Methods)</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Journal of Open Source Software (JOSS), eNeuro, eLife, J Physiology, J Neurophysiology</w:t>
      </w:r>
    </w:p>
    <w:p>
      <w:pPr>
        <w:pStyle w:val="Normal"/>
        <w:spacing w:lineRule="auto" w:line="240" w:before="0" w:after="40"/>
        <w:rPr>
          <w:rFonts w:ascii="Arial" w:hAnsi="Arial" w:cs="Arial"/>
          <w:sz w:val="22"/>
          <w:szCs w:val="22"/>
        </w:rPr>
      </w:pPr>
      <w:r>
        <w:rPr>
          <w:rFonts w:cs="Arial" w:ascii="Arial" w:hAnsi="Arial"/>
          <w:sz w:val="22"/>
          <w:szCs w:val="22"/>
        </w:rPr>
        <w:t xml:space="preserve">    </w:t>
      </w:r>
    </w:p>
    <w:p>
      <w:pPr>
        <w:pStyle w:val="cvheader1"/>
        <w:rPr/>
      </w:pPr>
      <w:bookmarkStart w:id="8" w:name="X7596b6f8c511f4606f9618c22e9590597cd76ef"/>
      <w:r>
        <w:rPr/>
        <w:t xml:space="preserve">Selected Publications · </w:t>
      </w:r>
      <w:hyperlink r:id="rId23">
        <w:r>
          <w:rPr>
            <w:rStyle w:val="Hyperlink"/>
          </w:rPr>
          <w:t>PubMed for full list</w:t>
        </w:r>
      </w:hyperlink>
    </w:p>
    <w:p>
      <w:pPr>
        <w:pStyle w:val="cvreference"/>
        <w:rPr/>
      </w:pPr>
      <w:r>
        <w:rPr/>
        <w:t xml:space="preserve">Benedict J, </w:t>
      </w:r>
      <w:r>
        <w:rPr>
          <w:b/>
          <w:bCs/>
        </w:rPr>
        <w:t>Cudmore RH</w:t>
      </w:r>
      <w:r>
        <w:rPr/>
        <w:t xml:space="preserve">, Oden D, Spruell A, Linden DJ (2025) The Lateral Habenula Is Necessary for Maternal Behavior in the Naturally Parturient Primiparous Mouse Dam. eNeuro 13:12(1). </w:t>
      </w:r>
      <w:hyperlink r:id="rId24">
        <w:r>
          <w:rPr>
            <w:rStyle w:val="Hyperlink"/>
          </w:rPr>
          <w:t>PubMed: 39689968</w:t>
        </w:r>
      </w:hyperlink>
      <w:r>
        <w:rPr/>
        <w:t>.</w:t>
      </w:r>
    </w:p>
    <w:p>
      <w:pPr>
        <w:pStyle w:val="cvreference"/>
        <w:rPr/>
      </w:pPr>
      <w:r>
        <w:rPr/>
        <w:t xml:space="preserve">Guarina L, Le JT, Griffith TN, Santana LF, </w:t>
      </w:r>
      <w:r>
        <w:rPr>
          <w:b/>
          <w:bCs/>
        </w:rPr>
        <w:t>Cudmore RH</w:t>
      </w:r>
      <w:r>
        <w:rPr/>
        <w:t xml:space="preserve"> (2024) SanPy: Software for the analysis and visualization of whole-cell current-clamp recordings. Biophys J 123:759–769. </w:t>
      </w:r>
      <w:hyperlink r:id="rId25">
        <w:r>
          <w:rPr>
            <w:rStyle w:val="Hyperlink"/>
          </w:rPr>
          <w:t>PubMed: 38419330</w:t>
        </w:r>
      </w:hyperlink>
      <w:r>
        <w:rPr/>
        <w:t>.</w:t>
      </w:r>
    </w:p>
    <w:p>
      <w:pPr>
        <w:pStyle w:val="cvreference"/>
        <w:rPr/>
      </w:pPr>
      <w:r>
        <w:rPr/>
        <w:t xml:space="preserve">Jha V, </w:t>
      </w:r>
      <w:r>
        <w:rPr>
          <w:b/>
          <w:bCs/>
        </w:rPr>
        <w:t>Cudmore RH</w:t>
      </w:r>
      <w:r>
        <w:rPr/>
        <w:t xml:space="preserve"> (2024) Brightest path tracing: A Python package to trace the brightest path in 2D and 3D images. bioRxiv:2023.07.16.549233. </w:t>
      </w:r>
      <w:hyperlink r:id="rId26">
        <w:r>
          <w:rPr>
            <w:rStyle w:val="Hyperlink"/>
          </w:rPr>
          <w:t>PubMed: 37503184</w:t>
        </w:r>
      </w:hyperlink>
      <w:r>
        <w:rPr/>
        <w:t>.</w:t>
      </w:r>
    </w:p>
    <w:p>
      <w:pPr>
        <w:pStyle w:val="cvreference"/>
        <w:rPr/>
      </w:pPr>
      <w:r>
        <w:rPr/>
        <w:t xml:space="preserve">Lopez-Ortega E, Choi JY, Hong I, Roth RH, </w:t>
      </w:r>
      <w:r>
        <w:rPr>
          <w:b/>
          <w:bCs/>
        </w:rPr>
        <w:t>Cudmore RH</w:t>
      </w:r>
      <w:r>
        <w:rPr/>
        <w:t xml:space="preserve">, Huganir RL (2024) Stimulus-dependent synaptic plasticity underlies neuronal circuitry refinement in the mouse primary visual cortex. Cell Rep 43(4):113966. </w:t>
      </w:r>
      <w:hyperlink r:id="rId27">
        <w:r>
          <w:rPr>
            <w:rStyle w:val="Hyperlink"/>
          </w:rPr>
          <w:t>PubMed: 38507408</w:t>
        </w:r>
      </w:hyperlink>
      <w:r>
        <w:rPr/>
        <w:t>.</w:t>
      </w:r>
    </w:p>
    <w:p>
      <w:pPr>
        <w:pStyle w:val="cvreference"/>
        <w:rPr/>
      </w:pPr>
      <w:r>
        <w:rPr/>
        <w:t xml:space="preserve">Benedict J, </w:t>
      </w:r>
      <w:r>
        <w:rPr>
          <w:b/>
          <w:bCs/>
        </w:rPr>
        <w:t>Cudmore RH</w:t>
      </w:r>
      <w:r>
        <w:rPr/>
        <w:t xml:space="preserve"> (2023) PiE: an open-source pipeline for home cage behavioral analysis. Front Neurosci 17:1222644. </w:t>
      </w:r>
      <w:hyperlink r:id="rId28">
        <w:r>
          <w:rPr>
            <w:rStyle w:val="Hyperlink"/>
          </w:rPr>
          <w:t>PubMed: 37583418</w:t>
        </w:r>
      </w:hyperlink>
      <w:r>
        <w:rPr/>
        <w:t>.</w:t>
      </w:r>
    </w:p>
    <w:p>
      <w:pPr>
        <w:pStyle w:val="cvreference"/>
        <w:rPr/>
      </w:pPr>
      <w:r>
        <w:rPr/>
        <w:t xml:space="preserve">Grainger N, Guarina L, </w:t>
      </w:r>
      <w:r>
        <w:rPr>
          <w:b/>
          <w:bCs/>
        </w:rPr>
        <w:t>Cudmore RH</w:t>
      </w:r>
      <w:r>
        <w:rPr/>
        <w:t xml:space="preserve">*, Santana LF* (2021) The Organization of the Sinoatrial Node Microvasculature Varies Regionally to Match Local Myocyte Excitability. Function 2:zqab031. </w:t>
      </w:r>
      <w:hyperlink r:id="rId29">
        <w:r>
          <w:rPr>
            <w:rStyle w:val="Hyperlink"/>
          </w:rPr>
          <w:t>PubMed: 34250490</w:t>
        </w:r>
      </w:hyperlink>
      <w:r>
        <w:rPr/>
        <w:t>.</w:t>
      </w:r>
    </w:p>
    <w:p>
      <w:pPr>
        <w:pStyle w:val="cvreference"/>
        <w:rPr/>
      </w:pPr>
      <w:r>
        <w:rPr/>
        <w:tab/>
        <w:t>* Equal contribution, corresponding author</w:t>
      </w:r>
    </w:p>
    <w:p>
      <w:pPr>
        <w:pStyle w:val="cvreference"/>
        <w:rPr/>
      </w:pPr>
      <w:r>
        <w:rPr/>
        <w:t xml:space="preserve">Li Y, Ding R, Wang F, Guo C, Liu A, Wei L, Yuan S, Chen F, Hou S, Ma Z, Zhang Y, </w:t>
      </w:r>
      <w:r>
        <w:rPr>
          <w:b/>
          <w:bCs/>
        </w:rPr>
        <w:t>Cudmore RH</w:t>
      </w:r>
      <w:r>
        <w:rPr/>
        <w:t xml:space="preserve">, Wang X, Shen H (2020) Transient ischemia-reperfusion induces cortical hyperactivity and AMPAR trafficking in the somatosensory cortex. Aging 12:4299–4321. </w:t>
      </w:r>
      <w:hyperlink r:id="rId30">
        <w:r>
          <w:rPr>
            <w:rStyle w:val="Hyperlink"/>
          </w:rPr>
          <w:t>PubMed: 32155129</w:t>
        </w:r>
      </w:hyperlink>
      <w:r>
        <w:rPr/>
        <w:t>.</w:t>
      </w:r>
    </w:p>
    <w:p>
      <w:pPr>
        <w:pStyle w:val="cvreference"/>
        <w:rPr/>
      </w:pPr>
      <w:r>
        <w:rPr/>
        <w:t xml:space="preserve">Roth RH, </w:t>
      </w:r>
      <w:r>
        <w:rPr>
          <w:b/>
          <w:bCs/>
        </w:rPr>
        <w:t>Cudmore RH</w:t>
      </w:r>
      <w:r>
        <w:rPr/>
        <w:t xml:space="preserve">, Tan HL, Hong I, Zhang Y, Huganir RL (2020) Cortical Synaptic AMPA Receptor Plasticity during Motor Learning. Neuron 105:895-908.e5. </w:t>
      </w:r>
      <w:hyperlink r:id="rId31">
        <w:r>
          <w:rPr>
            <w:rStyle w:val="Hyperlink"/>
          </w:rPr>
          <w:t>PubMed: 31901303</w:t>
        </w:r>
      </w:hyperlink>
      <w:r>
        <w:rPr/>
        <w:t>.</w:t>
      </w:r>
    </w:p>
    <w:p>
      <w:pPr>
        <w:pStyle w:val="cvreference"/>
        <w:rPr/>
      </w:pPr>
      <w:r>
        <w:rPr/>
        <w:t xml:space="preserve">Tan HL, Roth RH, Graves AR, </w:t>
      </w:r>
      <w:r>
        <w:rPr>
          <w:b/>
          <w:bCs/>
        </w:rPr>
        <w:t>Cudmore RH</w:t>
      </w:r>
      <w:r>
        <w:rPr/>
        <w:t xml:space="preserve">, Huganir RL (2020) Lamina-specific AMPA receptor dynamics following visual deprivation in vivo. Elife 9:e52420. </w:t>
      </w:r>
      <w:hyperlink r:id="rId32">
        <w:r>
          <w:rPr>
            <w:rStyle w:val="Hyperlink"/>
          </w:rPr>
          <w:t>PubMed: 32125273</w:t>
        </w:r>
      </w:hyperlink>
      <w:r>
        <w:rPr/>
        <w:t>.</w:t>
      </w:r>
    </w:p>
    <w:p>
      <w:pPr>
        <w:pStyle w:val="cvreference"/>
        <w:rPr/>
      </w:pPr>
      <w:r>
        <w:rPr/>
        <w:t xml:space="preserve">Ye Z, </w:t>
      </w:r>
      <w:r>
        <w:rPr>
          <w:b/>
          <w:bCs/>
        </w:rPr>
        <w:t>Cudmore RH</w:t>
      </w:r>
      <w:r>
        <w:rPr/>
        <w:t xml:space="preserve">, Linden DJ (2019) Estrogen-Dependent Functional Spine Dynamics in Neocortical Pyramidal Neurons of the Mouse. J Neurosci 39:4874–4888. </w:t>
      </w:r>
      <w:hyperlink r:id="rId33">
        <w:r>
          <w:rPr>
            <w:rStyle w:val="Hyperlink"/>
          </w:rPr>
          <w:t>PubMed: 30992373</w:t>
        </w:r>
      </w:hyperlink>
      <w:r>
        <w:rPr/>
        <w:t>.</w:t>
      </w:r>
    </w:p>
    <w:p>
      <w:pPr>
        <w:pStyle w:val="cvreference"/>
        <w:rPr/>
      </w:pPr>
      <w:r>
        <w:rPr>
          <w:b/>
          <w:bCs/>
        </w:rPr>
        <w:t>Cudmore RH</w:t>
      </w:r>
      <w:r>
        <w:rPr/>
        <w:t xml:space="preserve">, Dougherty SE, Linden DJ (2017) Cerebral vascular structure in the motor cortex of adult mice is stable and is not altered by voluntary exercise. J Cereb Blood Flow Metab 37(12):3725-3743. </w:t>
      </w:r>
      <w:hyperlink r:id="rId34">
        <w:r>
          <w:rPr>
            <w:rStyle w:val="Hyperlink"/>
          </w:rPr>
          <w:t>PubMed: 28059584</w:t>
        </w:r>
      </w:hyperlink>
      <w:r>
        <w:rPr/>
        <w:t>.</w:t>
      </w:r>
    </w:p>
    <w:p>
      <w:pPr>
        <w:pStyle w:val="cvreference"/>
        <w:rPr/>
      </w:pPr>
      <w:r>
        <w:rPr/>
        <w:t xml:space="preserve">Jin Y, Dougherty SE, Wood K, Sun L, </w:t>
      </w:r>
      <w:r>
        <w:rPr>
          <w:b/>
          <w:bCs/>
        </w:rPr>
        <w:t>Cudmore RH</w:t>
      </w:r>
      <w:r>
        <w:rPr/>
        <w:t xml:space="preserve">, Abdallah A, Pletnikov M, Hashemi P, Linden DJ (2016) Regrowth of Serotonin Axons in the Adult Mouse Brain Following Injury. Neuron 91(4):748-62. </w:t>
      </w:r>
      <w:hyperlink r:id="rId35">
        <w:r>
          <w:rPr>
            <w:rStyle w:val="Hyperlink"/>
          </w:rPr>
          <w:t>PubMed: 27499084</w:t>
        </w:r>
      </w:hyperlink>
      <w:r>
        <w:rPr/>
        <w:t>.</w:t>
      </w:r>
    </w:p>
    <w:p>
      <w:pPr>
        <w:pStyle w:val="cvreference"/>
        <w:rPr/>
      </w:pPr>
      <w:r>
        <w:rPr/>
        <w:t xml:space="preserve">Zhang Y*, </w:t>
      </w:r>
      <w:r>
        <w:rPr>
          <w:b/>
          <w:bCs/>
        </w:rPr>
        <w:t>Cudmore RH</w:t>
      </w:r>
      <w:r>
        <w:rPr/>
        <w:t xml:space="preserve">*, Lin D, Linden DJ, Huganir RL (2015) Visualization of NMDA receptor– dependent AMPA receptor synaptic plasticity in vivo. Nature Neuroscience 18(3):402-7. </w:t>
      </w:r>
      <w:hyperlink r:id="rId36">
        <w:r>
          <w:rPr>
            <w:rStyle w:val="Hyperlink"/>
          </w:rPr>
          <w:t>PubMed: 25643295</w:t>
        </w:r>
      </w:hyperlink>
      <w:r>
        <w:rPr/>
        <w:t>.</w:t>
      </w:r>
    </w:p>
    <w:p>
      <w:pPr>
        <w:pStyle w:val="cvreference"/>
        <w:rPr/>
      </w:pPr>
      <w:r>
        <w:rPr/>
        <w:tab/>
        <w:t>* Equal contribution</w:t>
      </w:r>
      <w:bookmarkEnd w:id="8"/>
    </w:p>
    <w:p>
      <w:pPr>
        <w:pStyle w:val="cvheader1"/>
        <w:rPr/>
      </w:pPr>
      <w:bookmarkStart w:id="9" w:name="selected-conference-abstracts"/>
      <w:r>
        <w:rPr/>
        <w:t>Selected Conference Abstracts</w:t>
      </w:r>
    </w:p>
    <w:p>
      <w:pPr>
        <w:pStyle w:val="cvreference"/>
        <w:rPr/>
      </w:pPr>
      <w:r>
        <w:rPr>
          <w:b/>
          <w:bCs/>
        </w:rPr>
        <w:t>Cudmore RH</w:t>
      </w:r>
      <w:r>
        <w:rPr/>
        <w:t>, (2024) Open-source software for the analysis of laser scanning kymographs. Society For Neuroscience Abstract, Chicago. PSTR493.01.</w:t>
      </w:r>
    </w:p>
    <w:p>
      <w:pPr>
        <w:pStyle w:val="cvreference"/>
        <w:rPr/>
      </w:pPr>
      <w:r>
        <w:rPr>
          <w:b/>
          <w:bCs/>
        </w:rPr>
        <w:t>Cudmore RH</w:t>
      </w:r>
      <w:r>
        <w:rPr/>
        <w:t xml:space="preserve"> and Zawadzki RJ (2024) An image analysis toolbox for 3D vascular tracing and network topology. Proceedings Volume 12830, Optical Coherence Tomography and Coherence Domain Optical Methods in Biomedicine XXVIII; 128300B. San Francisco. https://doi.org/10.1117/12.3001224</w:t>
      </w:r>
    </w:p>
    <w:p>
      <w:pPr>
        <w:pStyle w:val="cvreference"/>
        <w:rPr/>
      </w:pPr>
      <w:r>
        <w:rPr>
          <w:b/>
          <w:bCs/>
        </w:rPr>
        <w:t>Cudmore RH</w:t>
      </w:r>
      <w:r>
        <w:rPr/>
        <w:t>, Guarina L, Le JT, Griffith TN, Santana LF (2023) Sanpy: an open-source whole-cell electrophysiology analysis pipeline. Society For Neuroscience Abstract. Washington. PSTR446.17.</w:t>
      </w:r>
    </w:p>
    <w:p>
      <w:pPr>
        <w:pStyle w:val="cvreference"/>
        <w:rPr/>
      </w:pPr>
      <w:r>
        <w:rPr/>
        <w:t xml:space="preserve">Abunijem S, Le JT, </w:t>
      </w:r>
      <w:r>
        <w:rPr>
          <w:b/>
          <w:bCs/>
        </w:rPr>
        <w:t>Cudmore RH</w:t>
      </w:r>
      <w:r>
        <w:rPr/>
        <w:t xml:space="preserve"> (2023) Map Manager: Software to annotate and analyze image volume time-series. Basic Sciences Symposium Celebrating Hispanic Heritage Month, UC Davis.</w:t>
      </w:r>
    </w:p>
    <w:p>
      <w:pPr>
        <w:pStyle w:val="cvreference"/>
        <w:rPr/>
      </w:pPr>
      <w:r>
        <w:rPr/>
        <w:t xml:space="preserve">Manning D, </w:t>
      </w:r>
      <w:r>
        <w:rPr>
          <w:b/>
          <w:bCs/>
        </w:rPr>
        <w:t>Cudmore RH</w:t>
      </w:r>
      <w:r>
        <w:rPr/>
        <w:t>, Trimmer J, Santana LS (2023) KV2.1 is critical for vascular smooth muscle relaxation and neurovascular blood flow. Basic Sciences Symposium Celebrating Hispanic Heritage Month, UC Davis.</w:t>
      </w:r>
    </w:p>
    <w:p>
      <w:pPr>
        <w:pStyle w:val="cvreference"/>
        <w:rPr/>
      </w:pPr>
      <w:r>
        <w:rPr>
          <w:b/>
          <w:bCs/>
        </w:rPr>
        <w:t>Cudmore RH</w:t>
      </w:r>
      <w:r>
        <w:rPr/>
        <w:t xml:space="preserve"> (2018) Map Manager: Software to annotate and analyze image volume time-series. Society For Neuroscience Abstract. 254.17.</w:t>
      </w:r>
    </w:p>
    <w:p>
      <w:pPr>
        <w:pStyle w:val="cvreference"/>
        <w:rPr/>
      </w:pPr>
      <w:r>
        <w:rPr/>
        <w:t xml:space="preserve">Roth RH, </w:t>
      </w:r>
      <w:r>
        <w:rPr>
          <w:b/>
          <w:bCs/>
        </w:rPr>
        <w:t>Cudmore RH</w:t>
      </w:r>
      <w:r>
        <w:rPr/>
        <w:t>, Tan HL, Zhan Y, Huganir RL (2018) Cortex-wide synaptic AMPA receptor plasticity during motor learning. Society For Neuroscience Abstract. 288.02.</w:t>
      </w:r>
    </w:p>
    <w:p>
      <w:pPr>
        <w:pStyle w:val="cvreference"/>
        <w:spacing w:before="0" w:after="115"/>
        <w:rPr/>
      </w:pPr>
      <w:r>
        <w:rPr/>
        <w:t xml:space="preserve">Tan HL, Roth RH, Graves AR, </w:t>
      </w:r>
      <w:r>
        <w:rPr>
          <w:b/>
          <w:bCs/>
        </w:rPr>
        <w:t>Cudmore RH</w:t>
      </w:r>
      <w:r>
        <w:rPr/>
        <w:t>, Huganir RL (2018) Distance-dependent AMPA receptor dynamics following visual deprivation in vivo. Society For Neuroscience Abstract. 288.06</w:t>
      </w:r>
      <w:bookmarkEnd w:id="9"/>
    </w:p>
    <w:sectPr>
      <w:type w:val="nextPage"/>
      <w:pgSz w:w="12240" w:h="15840"/>
      <w:pgMar w:left="1008" w:right="1008"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a2028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cvheader1"/>
    <w:next w:val="Normal"/>
    <w:link w:val="Heading2Char"/>
    <w:uiPriority w:val="9"/>
    <w:semiHidden/>
    <w:unhideWhenUsed/>
    <w:qFormat/>
    <w:rsid w:val="00a20283"/>
    <w:pPr>
      <w:keepNext w:val="true"/>
      <w:keepLines/>
      <w:spacing w:before="160" w:after="80"/>
      <w:outlineLvl w:val="1"/>
    </w:pPr>
    <w:rPr>
      <w:rFonts w:ascii="Arial" w:hAnsi="Arial" w:eastAsia="" w:cs="" w:cstheme="majorBidi" w:eastAsiaTheme="majorEastAsia"/>
    </w:rPr>
  </w:style>
  <w:style w:type="paragraph" w:styleId="Heading3">
    <w:name w:val="heading 3"/>
    <w:basedOn w:val="Normal"/>
    <w:next w:val="Normal"/>
    <w:link w:val="Heading3Char"/>
    <w:uiPriority w:val="9"/>
    <w:semiHidden/>
    <w:unhideWhenUsed/>
    <w:qFormat/>
    <w:rsid w:val="00a2028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a2028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2028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2028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2028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2028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2028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rPr/>
  </w:style>
  <w:style w:type="character" w:styleId="Heading1Char" w:customStyle="1">
    <w:name w:val="Heading 1 Char"/>
    <w:basedOn w:val="DefaultParagraphFont"/>
    <w:link w:val="Heading1"/>
    <w:uiPriority w:val="9"/>
    <w:rsid w:val="00a20283"/>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rsid w:val="00a20283"/>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rsid w:val="00a20283"/>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rsid w:val="00a20283"/>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rsid w:val="00a20283"/>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rsid w:val="00a2028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rsid w:val="00a2028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rsid w:val="00a2028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rsid w:val="00a20283"/>
    <w:rPr>
      <w:rFonts w:eastAsia="" w:cs="" w:cstheme="majorBidi" w:eastAsiaTheme="majorEastAsia"/>
      <w:color w:themeColor="text1" w:themeTint="d8" w:val="272727"/>
    </w:rPr>
  </w:style>
  <w:style w:type="character" w:styleId="TitleChar" w:customStyle="1">
    <w:name w:val="Title Char"/>
    <w:basedOn w:val="DefaultParagraphFont"/>
    <w:link w:val="Title"/>
    <w:uiPriority w:val="10"/>
    <w:rsid w:val="00a20283"/>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rsid w:val="00a2028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rsid w:val="00a20283"/>
    <w:rPr>
      <w:i/>
      <w:iCs/>
      <w:color w:themeColor="text1" w:themeTint="bf" w:val="404040"/>
    </w:rPr>
  </w:style>
  <w:style w:type="character" w:styleId="IntenseEmphasis">
    <w:name w:val="Intense Emphasis"/>
    <w:basedOn w:val="DefaultParagraphFont"/>
    <w:uiPriority w:val="21"/>
    <w:qFormat/>
    <w:rsid w:val="00a20283"/>
    <w:rPr>
      <w:i/>
      <w:iCs/>
      <w:color w:themeColor="accent1" w:themeShade="bf" w:val="0F4761"/>
    </w:rPr>
  </w:style>
  <w:style w:type="character" w:styleId="IntenseQuoteChar" w:customStyle="1">
    <w:name w:val="Intense Quote Char"/>
    <w:basedOn w:val="DefaultParagraphFont"/>
    <w:link w:val="IntenseQuote"/>
    <w:uiPriority w:val="30"/>
    <w:rsid w:val="00a20283"/>
    <w:rPr>
      <w:i/>
      <w:iCs/>
      <w:color w:themeColor="accent1" w:themeShade="bf" w:val="0F4761"/>
    </w:rPr>
  </w:style>
  <w:style w:type="character" w:styleId="IntenseReference">
    <w:name w:val="Intense Reference"/>
    <w:basedOn w:val="DefaultParagraphFont"/>
    <w:uiPriority w:val="32"/>
    <w:qFormat/>
    <w:rsid w:val="00a20283"/>
    <w:rPr>
      <w:b/>
      <w:bCs/>
      <w:smallCaps/>
      <w:color w:themeColor="accent1" w:themeShade="bf" w:val="0F4761"/>
      <w:spacing w:val="5"/>
    </w:rPr>
  </w:style>
  <w:style w:type="character" w:styleId="Hyperlink">
    <w:name w:val="Hyperlink"/>
    <w:basedOn w:val="DefaultParagraphFont"/>
    <w:uiPriority w:val="99"/>
    <w:unhideWhenUsed/>
    <w:rsid w:val="00994866"/>
    <w:rPr>
      <w:color w:themeColor="hyperlink" w:val="467886"/>
      <w:u w:val="single"/>
    </w:rPr>
  </w:style>
  <w:style w:type="character" w:styleId="UnresolvedMention">
    <w:name w:val="Unresolved Mention"/>
    <w:basedOn w:val="DefaultParagraphFont"/>
    <w:uiPriority w:val="99"/>
    <w:semiHidden/>
    <w:unhideWhenUsed/>
    <w:rsid w:val="00994866"/>
    <w:rPr>
      <w:color w:val="605E5C"/>
      <w:shd w:fill="E1DFDD" w:val="clear"/>
    </w:rPr>
  </w:style>
  <w:style w:type="paragraph" w:styleId="Heading">
    <w:name w:val="Heading"/>
    <w:basedOn w:val="Normal"/>
    <w:next w:val="BodyTex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15"/>
    </w:pPr>
    <w:rPr>
      <w:rFonts w:ascii="Arial" w:hAnsi="Arial"/>
      <w:sz w:val="22"/>
    </w:rPr>
  </w:style>
  <w:style w:type="paragraph" w:styleId="List">
    <w:name w:val="List"/>
    <w:basedOn w:val="BodyText"/>
    <w:pPr/>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styleId="Index">
    <w:name w:val="Index"/>
    <w:basedOn w:val="Normal"/>
    <w:pPr>
      <w:suppressLineNumbers/>
    </w:pPr>
    <w:rPr>
      <w:rFonts w:cs="Arial Unicode MS"/>
    </w:rPr>
  </w:style>
  <w:style w:type="paragraph" w:styleId="Title">
    <w:name w:val="Title"/>
    <w:basedOn w:val="Normal"/>
    <w:next w:val="Normal"/>
    <w:link w:val="TitleChar"/>
    <w:uiPriority w:val="10"/>
    <w:qFormat/>
    <w:rsid w:val="00a2028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20283"/>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20283"/>
    <w:pPr>
      <w:spacing w:before="160" w:after="160"/>
      <w:jc w:val="center"/>
    </w:pPr>
    <w:rPr>
      <w:i/>
      <w:iCs/>
      <w:color w:themeColor="text1" w:themeTint="bf" w:val="404040"/>
    </w:rPr>
  </w:style>
  <w:style w:type="paragraph" w:styleId="ListParagraph">
    <w:name w:val="List Paragraph"/>
    <w:basedOn w:val="Normal"/>
    <w:uiPriority w:val="34"/>
    <w:qFormat/>
    <w:rsid w:val="00a20283"/>
    <w:pPr>
      <w:spacing w:before="0" w:after="160"/>
      <w:ind w:start="720"/>
      <w:contextualSpacing/>
    </w:pPr>
    <w:rPr/>
  </w:style>
  <w:style w:type="paragraph" w:styleId="IntenseQuote">
    <w:name w:val="Intense Quote"/>
    <w:basedOn w:val="Normal"/>
    <w:next w:val="Normal"/>
    <w:link w:val="IntenseQuoteChar"/>
    <w:uiPriority w:val="30"/>
    <w:qFormat/>
    <w:rsid w:val="00a2028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FirstParagraph">
    <w:name w:val="First Paragraph"/>
    <w:basedOn w:val="BodyText"/>
    <w:next w:val="BodyText"/>
    <w:pPr/>
    <w:rPr/>
  </w:style>
  <w:style w:type="paragraph" w:styleId="cvbody">
    <w:name w:val="cv body"/>
    <w:basedOn w:val="BodyText"/>
    <w:pPr>
      <w:spacing w:before="0" w:after="115"/>
    </w:pPr>
    <w:rPr>
      <w:rFonts w:ascii="Arial" w:hAnsi="Arial"/>
      <w:sz w:val="22"/>
    </w:rPr>
  </w:style>
  <w:style w:type="paragraph" w:styleId="cvreference">
    <w:name w:val="cv reference"/>
    <w:basedOn w:val="cvbody"/>
    <w:pPr>
      <w:tabs>
        <w:tab w:val="clear" w:pos="720"/>
      </w:tabs>
      <w:ind w:hanging="360" w:start="360"/>
    </w:pPr>
    <w:rPr/>
  </w:style>
  <w:style w:type="paragraph" w:styleId="cvheader1">
    <w:name w:val="cv header 1"/>
    <w:basedOn w:val="Normal"/>
    <w:pPr>
      <w:spacing w:lineRule="auto" w:line="240" w:before="115" w:after="58"/>
    </w:pPr>
    <w:rPr>
      <w:rFonts w:ascii="Arial" w:hAnsi="Arial"/>
      <w:b/>
      <w:sz w:val="22"/>
      <w:u w:val="single"/>
    </w:rPr>
  </w:style>
  <w:style w:type="paragraph" w:styleId="Compact">
    <w:name w:val="Compact"/>
    <w:basedOn w:val="BodyText"/>
    <w:pPr>
      <w:spacing w:before="36" w:after="36"/>
    </w:pPr>
    <w:rPr/>
  </w:style>
  <w:style w:type="paragraph" w:styleId="cvheader2">
    <w:name w:val="cv header 2"/>
    <w:basedOn w:val="cvheader1"/>
    <w:pPr/>
    <w:rPr>
      <w:b w:val="false"/>
      <w:i/>
      <w:u w:val="none"/>
    </w:rPr>
  </w:style>
  <w:style w:type="paragraph" w:styleId="cvtechskill">
    <w:name w:val="cv tech skill"/>
    <w:basedOn w:val="cvbody"/>
    <w:pPr>
      <w:spacing w:before="0" w:after="58"/>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apmanager.net/" TargetMode="External"/><Relationship Id="rId3" Type="http://schemas.openxmlformats.org/officeDocument/2006/relationships/hyperlink" Target="https://github.com/cudmore" TargetMode="External"/><Relationship Id="rId4" Type="http://schemas.openxmlformats.org/officeDocument/2006/relationships/hyperlink" Target="https://orcid.org/0000-0002-0440-1704" TargetMode="External"/><Relationship Id="rId5" Type="http://schemas.openxmlformats.org/officeDocument/2006/relationships/hyperlink" Target="https://mapmanager.github.io/cloudscope-app/" TargetMode="External"/><Relationship Id="rId6" Type="http://schemas.openxmlformats.org/officeDocument/2006/relationships/hyperlink" Target="https://mapmanager.github.io/acqstore/" TargetMode="External"/><Relationship Id="rId7" Type="http://schemas.openxmlformats.org/officeDocument/2006/relationships/hyperlink" Target="https://mapmanager.github.io/cloudscope-web" TargetMode="External"/><Relationship Id="rId8" Type="http://schemas.openxmlformats.org/officeDocument/2006/relationships/hyperlink" Target="https://github.com/mapmanager/cloudscope-app" TargetMode="External"/><Relationship Id="rId9" Type="http://schemas.openxmlformats.org/officeDocument/2006/relationships/hyperlink" Target="https://mapmanager.github.io/cloudscope-app/" TargetMode="External"/><Relationship Id="rId10" Type="http://schemas.openxmlformats.org/officeDocument/2006/relationships/hyperlink" Target="https://github.com/mapmanager/acqstore" TargetMode="External"/><Relationship Id="rId11" Type="http://schemas.openxmlformats.org/officeDocument/2006/relationships/hyperlink" Target="https://mapmanager.github.io/acqstore/" TargetMode="External"/><Relationship Id="rId12" Type="http://schemas.openxmlformats.org/officeDocument/2006/relationships/hyperlink" Target="https://github.com/mapmanager/cloudscope-web" TargetMode="External"/><Relationship Id="rId13" Type="http://schemas.openxmlformats.org/officeDocument/2006/relationships/hyperlink" Target="https://mapmanager.github.io/cloudscope-web/docs/" TargetMode="External"/><Relationship Id="rId14" Type="http://schemas.openxmlformats.org/officeDocument/2006/relationships/hyperlink" Target="https://github.com/cudmore/SanPy" TargetMode="External"/><Relationship Id="rId15" Type="http://schemas.openxmlformats.org/officeDocument/2006/relationships/hyperlink" Target="https://cudmore.github.io/SanPy" TargetMode="External"/><Relationship Id="rId16" Type="http://schemas.openxmlformats.org/officeDocument/2006/relationships/hyperlink" Target="https://github.com/mapmanager/WebMapManager" TargetMode="External"/><Relationship Id="rId17" Type="http://schemas.openxmlformats.org/officeDocument/2006/relationships/hyperlink" Target="https://mapmanager.github.io/" TargetMode="External"/><Relationship Id="rId18" Type="http://schemas.openxmlformats.org/officeDocument/2006/relationships/hyperlink" Target="https://mapmanager.github.io/WebMapManager/" TargetMode="External"/><Relationship Id="rId19" Type="http://schemas.openxmlformats.org/officeDocument/2006/relationships/hyperlink" Target="https://github.com/cudmore/pie" TargetMode="External"/><Relationship Id="rId20" Type="http://schemas.openxmlformats.org/officeDocument/2006/relationships/hyperlink" Target="https://cudmore.github.io/pie-doc" TargetMode="External"/><Relationship Id="rId21" Type="http://schemas.openxmlformats.org/officeDocument/2006/relationships/hyperlink" Target="https://github.com/mapmanager/brightest-path-lib" TargetMode="External"/><Relationship Id="rId22" Type="http://schemas.openxmlformats.org/officeDocument/2006/relationships/hyperlink" Target="https://mapmanager.github.io/brightest-path-lib/" TargetMode="External"/><Relationship Id="rId23" Type="http://schemas.openxmlformats.org/officeDocument/2006/relationships/hyperlink" Target="https://pubmed.ncbi.nlm.nih.gov/?term=cudmore+rh&amp;sort=date" TargetMode="External"/><Relationship Id="rId24" Type="http://schemas.openxmlformats.org/officeDocument/2006/relationships/hyperlink" Target="https://pubmed.ncbi.nlm.nih.gov/39689968/" TargetMode="External"/><Relationship Id="rId25" Type="http://schemas.openxmlformats.org/officeDocument/2006/relationships/hyperlink" Target="https://pubmed.ncbi.nlm.nih.gov/38419330/" TargetMode="External"/><Relationship Id="rId26" Type="http://schemas.openxmlformats.org/officeDocument/2006/relationships/hyperlink" Target="https://pubmed.ncbi.nlm.nih.gov/37503184/" TargetMode="External"/><Relationship Id="rId27" Type="http://schemas.openxmlformats.org/officeDocument/2006/relationships/hyperlink" Target="https://pubmed.ncbi.nlm.nih.gov/38507408/" TargetMode="External"/><Relationship Id="rId28" Type="http://schemas.openxmlformats.org/officeDocument/2006/relationships/hyperlink" Target="https://pubmed.ncbi.nlm.nih.gov/37583418/" TargetMode="External"/><Relationship Id="rId29" Type="http://schemas.openxmlformats.org/officeDocument/2006/relationships/hyperlink" Target="https://pubmed.ncbi.nlm.nih.gov/34250490/" TargetMode="External"/><Relationship Id="rId30" Type="http://schemas.openxmlformats.org/officeDocument/2006/relationships/hyperlink" Target="https://pubmed.ncbi.nlm.nih.gov/32155129/" TargetMode="External"/><Relationship Id="rId31" Type="http://schemas.openxmlformats.org/officeDocument/2006/relationships/hyperlink" Target="https://pubmed.ncbi.nlm.nih.gov/31901303/" TargetMode="External"/><Relationship Id="rId32" Type="http://schemas.openxmlformats.org/officeDocument/2006/relationships/hyperlink" Target="https://pubmed.ncbi.nlm.nih.gov/32125273/" TargetMode="External"/><Relationship Id="rId33" Type="http://schemas.openxmlformats.org/officeDocument/2006/relationships/hyperlink" Target="https://pubmed.ncbi.nlm.nih.gov/30992373/" TargetMode="External"/><Relationship Id="rId34" Type="http://schemas.openxmlformats.org/officeDocument/2006/relationships/hyperlink" Target="https://pubmed.ncbi.nlm.nih.gov/28059584/" TargetMode="External"/><Relationship Id="rId35" Type="http://schemas.openxmlformats.org/officeDocument/2006/relationships/hyperlink" Target="https://pubmed.ncbi.nlm.nih.gov/27499084/" TargetMode="External"/><Relationship Id="rId36" Type="http://schemas.openxmlformats.org/officeDocument/2006/relationships/hyperlink" Target="https://pubmed.ncbi.nlm.nih.gov/25643295/" TargetMode="Externa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88</TotalTime>
  <Application>LibreOffice/26.8.0.3$MacOSX_AARCH64 LibreOffice_project/bce0998afefdbc355585ca324285661a2170ba77</Application>
  <AppVersion>15.0000</AppVersion>
  <Pages>6</Pages>
  <Words>1762</Words>
  <Characters>11630</Characters>
  <CharactersWithSpaces>13426</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2026-07-27T22:51:00Z</dcterms:created>
  <dc:creator>Robert H Cudmore</dc:creator>
  <dc:description/>
  <dc:language>en-US</dc:language>
  <cp:lastModifiedBy/>
  <dcterms:modified xsi:type="dcterms:W3CDTF">2026-08-30T00:11:39Z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