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t>Dear Dr. [Name],</w:t>
      </w:r>
    </w:p>
    <w:p>
      <w:pPr>
        <w:pStyle w:val="BodyText"/>
        <w:jc w:val="both"/>
        <w:rPr/>
      </w:pPr>
      <w:r>
        <w:rPr/>
        <w:t>I am writing to ask whether your facility, department, or research community could benefit from additional expertise in scientific software and quantitative analysis. My career combines experimental biology with research software engineering, with a focus on microscopy and electrophysiology. I am interested in joining an existing organization in a staff-scientist, research-faculty, or related scientific role to contribute this expertise.</w:t>
      </w:r>
    </w:p>
    <w:p>
      <w:pPr>
        <w:pStyle w:val="BodyText"/>
        <w:jc w:val="both"/>
        <w:rPr/>
      </w:pPr>
      <w:r>
        <w:rPr/>
        <w:t>Imaging cores provide essential instrumentation, training, and expertise for acquiring high-quality data. Advances in microscopy and functional reporters are producing larger and more diverse datasets, but reusable analysis pipelines do not always keep pace. Analysis may instead remain divided among instrument software, manual review, project-specific scripts, and publication tools. I propose an analysis-core capability that complements the imaging core with shared analytical expertise, reusable software, and training, extending its support from data acquisition through analysis, publication, and sharing.</w:t>
      </w:r>
    </w:p>
    <w:p>
      <w:pPr>
        <w:pStyle w:val="BodyText"/>
        <w:jc w:val="both"/>
        <w:rPr/>
      </w:pPr>
      <w:r>
        <w:rPr/>
        <w:t>I bring hands-on experimental experience in neuroscience, vascular biology, and cardiac physiology. I have performed microscopy and electrophysiology experiments and built custom acquisition systems, so I understand how data collection and measurement limits affect analysis. Work across these disciplines has shown me that different biological questions often depend on shared experimental technologies and encounter common analytical needs. I work with domain experts to turn those needs into software that is scientifically useful and can be reused across projects.</w:t>
      </w:r>
    </w:p>
    <w:p>
      <w:pPr>
        <w:pStyle w:val="BodyText"/>
        <w:jc w:val="both"/>
        <w:rPr/>
      </w:pPr>
      <w:r>
        <w:rPr/>
        <w:t>My software demonstrates how this approach can work in practice. Researchers can use it at the microscope or electrophysiology rig to inspect data during acquisition, then perform analyses, curate results, and create figures while keeping each result connected to its raw data. The software preserves the analysis methods and detection parameters with the completed results. This creates a continuous workflow from newly acquired data through laboratory analysis and curation to interactive web figures. Published results can then be examined in the context of the data that produced them. CloudScope, described in my CV, is one implementation of this workflow.</w:t>
      </w:r>
    </w:p>
    <w:p>
      <w:pPr>
        <w:pStyle w:val="BodyText"/>
        <w:jc w:val="both"/>
        <w:rPr/>
      </w:pPr>
      <w:r>
        <w:rPr/>
        <w:t>I would develop the analysis-core capability within an institution’s existing structure. It could begin with direct researcher support, training, and reusable analysis software, then grow in response to recurring needs across laboratories. Incorporating data organization, analysis documentation, export, and repository preparation into the research workflow would provide practical support for NIH Data Management and Sharing Plans while reducing the end-of-project burden on individual laboratories. Shared methods would reduce duplicated effort and provide continuity as projects and personnel change.</w:t>
      </w:r>
    </w:p>
    <w:p>
      <w:pPr>
        <w:pStyle w:val="BodyText"/>
        <w:jc w:val="both"/>
        <w:rPr/>
      </w:pPr>
      <w:r>
        <w:rPr/>
        <w:t>I enjoy working directly with researchers and helping them understand the assumptions and limits of analytical methods. Practical training in evaluating analysis pipelines, curating results, and presenting quantitative data helps researchers use reproducible methods confidently. Troubleshooting datasets and analysis pipelines, improving documentation, and providing day-to-day support also reveal problems that can be solved once and shared across laboratories.</w:t>
      </w:r>
    </w:p>
    <w:p>
      <w:pPr>
        <w:pStyle w:val="BodyText"/>
        <w:jc w:val="both"/>
        <w:rPr/>
      </w:pPr>
      <w:r>
        <w:rPr/>
        <w:t>I would welcome a conversation about the analysis needs of your researchers and whether my experience could complement your existing scientific and technical capabilities. I have attached my CV for context. If you know someone who might be interested, please feel free to pass along my letter and CV.</w:t>
      </w:r>
    </w:p>
    <w:p>
      <w:pPr>
        <w:pStyle w:val="BodyText"/>
        <w:rPr/>
      </w:pPr>
      <w:r>
        <w:rPr/>
        <w:t>Sincerely,</w:t>
      </w:r>
    </w:p>
    <w:p>
      <w:pPr>
        <w:pStyle w:val="BodyText"/>
        <w:spacing w:lineRule="auto" w:line="276" w:before="0" w:after="115"/>
        <w:rPr/>
      </w:pPr>
      <w:r>
        <w:rPr/>
        <w:t>Robert H. Cudmore, PhD</w:t>
      </w:r>
    </w:p>
    <w:sectPr>
      <w:type w:val="nextPage"/>
      <w:pgSz w:w="12240" w:h="15840"/>
      <w:pgMar w:left="1008" w:right="1008" w:gutter="0" w:header="0" w:top="1008" w:footer="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embedSystemFonts/>
  <w:stylePaneFormatFilter w:val="0004"/>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a2028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cvheader1"/>
    <w:next w:val="Normal"/>
    <w:link w:val="Heading2Char"/>
    <w:uiPriority w:val="9"/>
    <w:semiHidden/>
    <w:unhideWhenUsed/>
    <w:qFormat/>
    <w:rsid w:val="00a20283"/>
    <w:pPr>
      <w:keepNext w:val="true"/>
      <w:keepLines/>
      <w:spacing w:before="160" w:after="80"/>
      <w:outlineLvl w:val="1"/>
    </w:pPr>
    <w:rPr>
      <w:rFonts w:ascii="Arial" w:hAnsi="Arial" w:eastAsia="" w:cs="" w:cstheme="majorBidi" w:eastAsiaTheme="majorEastAsia"/>
    </w:rPr>
  </w:style>
  <w:style w:type="paragraph" w:styleId="Heading3">
    <w:name w:val="heading 3"/>
    <w:basedOn w:val="Normal"/>
    <w:next w:val="Normal"/>
    <w:link w:val="Heading3Char"/>
    <w:uiPriority w:val="9"/>
    <w:semiHidden/>
    <w:unhideWhenUsed/>
    <w:qFormat/>
    <w:rsid w:val="00a2028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a2028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2028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2028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2028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2028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2028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rPr/>
  </w:style>
  <w:style w:type="character" w:styleId="Heading1Char" w:customStyle="1">
    <w:name w:val="Heading 1 Char"/>
    <w:basedOn w:val="DefaultParagraphFont"/>
    <w:link w:val="Heading1"/>
    <w:uiPriority w:val="9"/>
    <w:rsid w:val="00a2028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a2028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a2028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a2028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a2028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a2028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a2028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a2028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a2028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a2028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a2028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a20283"/>
    <w:rPr>
      <w:i/>
      <w:iCs/>
      <w:color w:themeColor="text1" w:themeTint="bf" w:val="404040"/>
    </w:rPr>
  </w:style>
  <w:style w:type="character" w:styleId="IntenseEmphasis">
    <w:name w:val="Intense Emphasis"/>
    <w:basedOn w:val="DefaultParagraphFont"/>
    <w:uiPriority w:val="21"/>
    <w:qFormat/>
    <w:rsid w:val="00a20283"/>
    <w:rPr>
      <w:i/>
      <w:iCs/>
      <w:color w:themeColor="accent1" w:themeShade="bf" w:val="0F4761"/>
    </w:rPr>
  </w:style>
  <w:style w:type="character" w:styleId="IntenseQuoteChar" w:customStyle="1">
    <w:name w:val="Intense Quote Char"/>
    <w:basedOn w:val="DefaultParagraphFont"/>
    <w:link w:val="IntenseQuote"/>
    <w:uiPriority w:val="30"/>
    <w:rsid w:val="00a20283"/>
    <w:rPr>
      <w:i/>
      <w:iCs/>
      <w:color w:themeColor="accent1" w:themeShade="bf" w:val="0F4761"/>
    </w:rPr>
  </w:style>
  <w:style w:type="character" w:styleId="IntenseReference">
    <w:name w:val="Intense Reference"/>
    <w:basedOn w:val="DefaultParagraphFont"/>
    <w:uiPriority w:val="32"/>
    <w:qFormat/>
    <w:rsid w:val="00a20283"/>
    <w:rPr>
      <w:b/>
      <w:bCs/>
      <w:smallCaps/>
      <w:color w:themeColor="accent1" w:themeShade="bf" w:val="0F4761"/>
      <w:spacing w:val="5"/>
    </w:rPr>
  </w:style>
  <w:style w:type="character" w:styleId="Hyperlink">
    <w:name w:val="Hyperlink"/>
    <w:basedOn w:val="DefaultParagraphFont"/>
    <w:uiPriority w:val="99"/>
    <w:unhideWhenUsed/>
    <w:rsid w:val="00994866"/>
    <w:rPr>
      <w:color w:themeColor="hyperlink" w:val="467886"/>
      <w:u w:val="single"/>
    </w:rPr>
  </w:style>
  <w:style w:type="character" w:styleId="UnresolvedMention">
    <w:name w:val="Unresolved Mention"/>
    <w:basedOn w:val="DefaultParagraphFont"/>
    <w:uiPriority w:val="99"/>
    <w:semiHidden/>
    <w:unhideWhenUsed/>
    <w:rsid w:val="00994866"/>
    <w:rPr>
      <w:color w:val="605E5C"/>
      <w:shd w:fill="E1DFDD" w:val="clear"/>
    </w:rPr>
  </w:style>
  <w:style w:type="character" w:styleId="KeywordTok" w:customStyle="1">
    <w:name w:val="KeywordTok"/>
    <w:rPr>
      <w:b/>
      <w:color w:val="007020"/>
    </w:rPr>
  </w:style>
  <w:style w:type="character" w:styleId="DataTypeTok" w:customStyle="1">
    <w:name w:val="DataTypeTok"/>
    <w:rPr>
      <w:color w:val="902000"/>
    </w:rPr>
  </w:style>
  <w:style w:type="character" w:styleId="DecValTok" w:customStyle="1">
    <w:name w:val="DecValTok"/>
    <w:rPr>
      <w:color w:val="40A070"/>
    </w:rPr>
  </w:style>
  <w:style w:type="character" w:styleId="BaseNTok" w:customStyle="1">
    <w:name w:val="BaseNTok"/>
    <w:rPr>
      <w:color w:val="40A070"/>
    </w:rPr>
  </w:style>
  <w:style w:type="character" w:styleId="FloatTok" w:customStyle="1">
    <w:name w:val="FloatTok"/>
    <w:rPr>
      <w:color w:val="40A070"/>
    </w:rPr>
  </w:style>
  <w:style w:type="character" w:styleId="ConstantTok" w:customStyle="1">
    <w:name w:val="ConstantTok"/>
    <w:rPr>
      <w:color w:val="880000"/>
    </w:rPr>
  </w:style>
  <w:style w:type="character" w:styleId="CharTok" w:customStyle="1">
    <w:name w:val="CharTok"/>
    <w:rPr>
      <w:color w:val="4070A0"/>
    </w:rPr>
  </w:style>
  <w:style w:type="character" w:styleId="SpecialCharTok" w:customStyle="1">
    <w:name w:val="SpecialCharTok"/>
    <w:rPr>
      <w:color w:val="4070A0"/>
    </w:rPr>
  </w:style>
  <w:style w:type="character" w:styleId="StringTok" w:customStyle="1">
    <w:name w:val="StringTok"/>
    <w:rPr>
      <w:color w:val="4070A0"/>
    </w:rPr>
  </w:style>
  <w:style w:type="character" w:styleId="VerbatimStringTok" w:customStyle="1">
    <w:name w:val="VerbatimStringTok"/>
    <w:rPr>
      <w:color w:val="4070A0"/>
    </w:rPr>
  </w:style>
  <w:style w:type="character" w:styleId="SpecialStringTok" w:customStyle="1">
    <w:name w:val="SpecialStringTok"/>
    <w:rPr>
      <w:color w:val="BB6688"/>
    </w:rPr>
  </w:style>
  <w:style w:type="character" w:styleId="ImportTok" w:customStyle="1">
    <w:name w:val="ImportTok"/>
    <w:rPr>
      <w:b/>
      <w:color w:val="008000"/>
    </w:rPr>
  </w:style>
  <w:style w:type="character" w:styleId="CommentTok" w:customStyle="1">
    <w:name w:val="CommentTok"/>
    <w:rPr>
      <w:i/>
      <w:color w:val="60A0B0"/>
    </w:rPr>
  </w:style>
  <w:style w:type="character" w:styleId="DocumentationTok" w:customStyle="1">
    <w:name w:val="DocumentationTok"/>
    <w:rPr>
      <w:i/>
      <w:color w:val="BA2121"/>
    </w:rPr>
  </w:style>
  <w:style w:type="character" w:styleId="AnnotationTok" w:customStyle="1">
    <w:name w:val="AnnotationTok"/>
    <w:rPr>
      <w:b/>
      <w:i/>
      <w:color w:val="60A0B0"/>
    </w:rPr>
  </w:style>
  <w:style w:type="character" w:styleId="CommentVarTok" w:customStyle="1">
    <w:name w:val="CommentVarTok"/>
    <w:rPr>
      <w:b/>
      <w:i/>
      <w:color w:val="60A0B0"/>
    </w:rPr>
  </w:style>
  <w:style w:type="character" w:styleId="OtherTok" w:customStyle="1">
    <w:name w:val="OtherTok"/>
    <w:rPr>
      <w:color w:val="007020"/>
    </w:rPr>
  </w:style>
  <w:style w:type="character" w:styleId="FunctionTok" w:customStyle="1">
    <w:name w:val="FunctionTok"/>
    <w:rPr>
      <w:color w:val="06287E"/>
    </w:rPr>
  </w:style>
  <w:style w:type="character" w:styleId="VariableTok" w:customStyle="1">
    <w:name w:val="VariableTok"/>
    <w:rPr>
      <w:color w:val="19177C"/>
    </w:rPr>
  </w:style>
  <w:style w:type="character" w:styleId="ControlFlowTok" w:customStyle="1">
    <w:name w:val="ControlFlowTok"/>
    <w:rPr>
      <w:b/>
      <w:color w:val="007020"/>
    </w:rPr>
  </w:style>
  <w:style w:type="character" w:styleId="OperatorTok" w:customStyle="1">
    <w:name w:val="OperatorTok"/>
    <w:rPr>
      <w:color w:val="666666"/>
    </w:rPr>
  </w:style>
  <w:style w:type="character" w:styleId="BuiltInTok" w:customStyle="1">
    <w:name w:val="BuiltInTok"/>
    <w:rPr>
      <w:color w:val="008000"/>
    </w:rPr>
  </w:style>
  <w:style w:type="character" w:styleId="ExtensionTok" w:customStyle="1">
    <w:name w:val="ExtensionTok"/>
    <w:rPr/>
  </w:style>
  <w:style w:type="character" w:styleId="PreprocessorTok" w:customStyle="1">
    <w:name w:val="PreprocessorTok"/>
    <w:rPr>
      <w:color w:val="BC7A00"/>
    </w:rPr>
  </w:style>
  <w:style w:type="character" w:styleId="AttributeTok" w:customStyle="1">
    <w:name w:val="AttributeTok"/>
    <w:rPr>
      <w:color w:val="7D9029"/>
    </w:rPr>
  </w:style>
  <w:style w:type="character" w:styleId="RegionMarkerTok" w:customStyle="1">
    <w:name w:val="RegionMarkerTok"/>
    <w:rPr/>
  </w:style>
  <w:style w:type="character" w:styleId="InformationTok" w:customStyle="1">
    <w:name w:val="InformationTok"/>
    <w:rPr>
      <w:b/>
      <w:i/>
      <w:color w:val="60A0B0"/>
    </w:rPr>
  </w:style>
  <w:style w:type="character" w:styleId="WarningTok" w:customStyle="1">
    <w:name w:val="WarningTok"/>
    <w:rPr>
      <w:b/>
      <w:i/>
      <w:color w:val="60A0B0"/>
    </w:rPr>
  </w:style>
  <w:style w:type="character" w:styleId="AlertTok" w:customStyle="1">
    <w:name w:val="AlertTok"/>
    <w:rPr>
      <w:b/>
      <w:color w:val="FF0000"/>
    </w:rPr>
  </w:style>
  <w:style w:type="character" w:styleId="ErrorTok" w:customStyle="1">
    <w:name w:val="ErrorTok"/>
    <w:rPr>
      <w:b/>
      <w:color w:val="FF0000"/>
    </w:rPr>
  </w:style>
  <w:style w:type="character" w:styleId="NormalTok" w:customStyle="1">
    <w:name w:val="NormalTok"/>
    <w:rPr/>
  </w:style>
  <w:style w:type="paragraph" w:styleId="Heading">
    <w:name w:val="Heading"/>
    <w:basedOn w:val="Normal"/>
    <w:next w:val="BodyTex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15"/>
    </w:pPr>
    <w:rPr>
      <w:rFonts w:ascii="Arial" w:hAnsi="Arial"/>
      <w:sz w:val="22"/>
    </w:rPr>
  </w:style>
  <w:style w:type="paragraph" w:styleId="List">
    <w:name w:val="List"/>
    <w:basedOn w:val="BodyText"/>
    <w:pPr/>
    <w:rPr>
      <w:rFonts w:cs="Arial Unicode MS"/>
    </w:rPr>
  </w:style>
  <w:style w:type="paragraph" w:styleId="Caption">
    <w:name w:val="caption"/>
    <w:basedOn w:val="Normal"/>
    <w:pPr>
      <w:suppressLineNumbers/>
      <w:spacing w:before="120" w:after="120"/>
    </w:pPr>
    <w:rPr>
      <w:rFonts w:cs="Arial Unicode MS"/>
      <w:i/>
      <w:iCs/>
      <w:sz w:val="24"/>
      <w:szCs w:val="24"/>
    </w:rPr>
  </w:style>
  <w:style w:type="paragraph" w:styleId="Index">
    <w:name w:val="Index"/>
    <w:basedOn w:val="Normal"/>
    <w:pPr>
      <w:suppressLineNumbers/>
    </w:pPr>
    <w:rPr>
      <w:rFonts w:cs="Arial Unicode MS"/>
    </w:rPr>
  </w:style>
  <w:style w:type="paragraph" w:styleId="Title">
    <w:name w:val="Title"/>
    <w:basedOn w:val="Normal"/>
    <w:next w:val="Normal"/>
    <w:link w:val="TitleChar"/>
    <w:uiPriority w:val="10"/>
    <w:qFormat/>
    <w:rsid w:val="00a2028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2028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20283"/>
    <w:pPr>
      <w:spacing w:before="160" w:after="160"/>
      <w:jc w:val="center"/>
    </w:pPr>
    <w:rPr>
      <w:i/>
      <w:iCs/>
      <w:color w:themeColor="text1" w:themeTint="bf" w:val="404040"/>
    </w:rPr>
  </w:style>
  <w:style w:type="paragraph" w:styleId="ListParagraph">
    <w:name w:val="List Paragraph"/>
    <w:basedOn w:val="Normal"/>
    <w:uiPriority w:val="34"/>
    <w:qFormat/>
    <w:rsid w:val="00a20283"/>
    <w:pPr>
      <w:spacing w:before="0" w:after="160"/>
      <w:ind w:start="720"/>
      <w:contextualSpacing/>
    </w:pPr>
    <w:rPr/>
  </w:style>
  <w:style w:type="paragraph" w:styleId="IntenseQuote">
    <w:name w:val="Intense Quote"/>
    <w:basedOn w:val="Normal"/>
    <w:next w:val="Normal"/>
    <w:link w:val="IntenseQuoteChar"/>
    <w:uiPriority w:val="30"/>
    <w:qFormat/>
    <w:rsid w:val="00a2028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irstParagraph">
    <w:name w:val="First Paragraph"/>
    <w:basedOn w:val="BodyText"/>
    <w:next w:val="BodyText"/>
    <w:pPr/>
    <w:rPr/>
  </w:style>
  <w:style w:type="paragraph" w:styleId="cvbody">
    <w:name w:val="cv body"/>
    <w:basedOn w:val="BodyText"/>
    <w:pPr>
      <w:spacing w:before="0" w:after="115"/>
    </w:pPr>
    <w:rPr>
      <w:rFonts w:ascii="Arial" w:hAnsi="Arial"/>
      <w:sz w:val="22"/>
    </w:rPr>
  </w:style>
  <w:style w:type="paragraph" w:styleId="cvreference">
    <w:name w:val="cv reference"/>
    <w:basedOn w:val="cvbody"/>
    <w:pPr>
      <w:tabs>
        <w:tab w:val="clear" w:pos="720"/>
      </w:tabs>
      <w:ind w:hanging="360" w:start="360"/>
    </w:pPr>
    <w:rPr/>
  </w:style>
  <w:style w:type="paragraph" w:styleId="cvheader1">
    <w:name w:val="cv header 1"/>
    <w:basedOn w:val="Normal"/>
    <w:pPr>
      <w:spacing w:lineRule="auto" w:line="240" w:before="115" w:after="58"/>
    </w:pPr>
    <w:rPr>
      <w:rFonts w:ascii="Arial" w:hAnsi="Arial"/>
      <w:b/>
      <w:sz w:val="22"/>
      <w:u w:val="single"/>
    </w:rPr>
  </w:style>
  <w:style w:type="paragraph" w:styleId="Compact">
    <w:name w:val="Compact"/>
    <w:basedOn w:val="BodyText"/>
    <w:pPr>
      <w:spacing w:before="36" w:after="36"/>
    </w:pPr>
    <w:rPr/>
  </w:style>
  <w:style w:type="paragraph" w:styleId="cvheader2">
    <w:name w:val="cv header 2"/>
    <w:basedOn w:val="cvheader1"/>
    <w:pPr/>
    <w:rPr>
      <w:b w:val="false"/>
      <w:i/>
      <w:u w:val="none"/>
    </w:rPr>
  </w:style>
  <w:style w:type="paragraph" w:styleId="cvtechskill">
    <w:name w:val="cv tech skill"/>
    <w:basedOn w:val="cvbody"/>
    <w:pPr>
      <w:spacing w:before="0" w:after="58"/>
    </w:pPr>
    <w:rPr/>
  </w:style>
  <w:style w:type="paragraph" w:styleId="SourceCode" w:customStyle="1">
    <w:name w:val="Source Code"/>
    <w:basedOn w:val="Normal"/>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88</TotalTime>
  <Application>LibreOffice/26.8.0.3$MacOSX_AARCH64 LibreOffice_project/bce0998afefdbc355585ca324285661a2170ba77</Application>
  <AppVersion>15.0000</AppVersion>
  <Pages>1</Pages>
  <Words>507</Words>
  <Characters>3200</Characters>
  <CharactersWithSpaces>3697</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2026-08-30T23:14:23Z</dcterms:created>
  <dc:creator/>
  <dc:description/>
  <dc:language>en-US</dc:language>
  <cp:lastModifiedBy/>
  <dcterms:modified xsi:type="dcterms:W3CDTF">2026-08-30T19:44:58Z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