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esearch-software-platforms"/>
    <w:p>
      <w:pPr>
        <w:pStyle w:val="Heading2"/>
      </w:pPr>
      <w:r>
        <w:t xml:space="preserve">Research Software Platforms</w:t>
      </w:r>
    </w:p>
    <w:bookmarkStart w:id="12" w:name="cloudscope-suite"/>
    <w:p>
      <w:pPr>
        <w:pStyle w:val="Heading3"/>
      </w:pPr>
      <w:r>
        <w:t xml:space="preserve">CloudScope Suite</w:t>
      </w:r>
    </w:p>
    <w:p>
      <w:pPr>
        <w:pStyle w:val="FirstParagraph"/>
      </w:pPr>
      <w:r>
        <w:t xml:space="preserve">Imaging workflows often divide raw data, automated analysis, manual review, saved results, and publication among disconnected tools and processes. They may also depend on one-off scripts whose precise code, assumptions, algorithms, and detection parameters are difficult to preserve or reuse. The CloudScope suite addresses these problems through a continuous pipeline from raw imaging data through quantitative analysis, scientific curation, publication, and reuse.</w:t>
      </w:r>
    </w:p>
    <w:p>
      <w:pPr>
        <w:pStyle w:val="BodyText"/>
      </w:pPr>
      <w:hyperlink r:id="rId9">
        <w:r>
          <w:rPr>
            <w:rStyle w:val="Hyperlink"/>
          </w:rPr>
          <w:t xml:space="preserve">CloudScope</w:t>
        </w:r>
      </w:hyperlink>
      <w:r>
        <w:t xml:space="preserve"> </w:t>
      </w:r>
      <w:r>
        <w:t xml:space="preserve">is a desktop application for macOS and Windows. Its graphical interface allows researchers to load and visualize images, perform analyses implemented in AcqStore, inspect and curate results, and save and reload completed work. Its semi-automated workflows allow hundreds of raw image files to be analyzed efficiently and provide graphical tools for human-in-the-loop curation of the results. CloudScope also supports blinded and randomized analysis and curation, allowing large datasets to be reviewed systematically while helping reduce experimenter bias.</w:t>
      </w:r>
    </w:p>
    <w:p>
      <w:pPr>
        <w:pStyle w:val="BodyText"/>
      </w:pPr>
      <w:r>
        <w:t xml:space="preserve">CloudScope uses</w:t>
      </w:r>
      <w:r>
        <w:t xml:space="preserve"> </w:t>
      </w:r>
      <w:hyperlink r:id="rId10">
        <w:r>
          <w:rPr>
            <w:rStyle w:val="Hyperlink"/>
          </w:rPr>
          <w:t xml:space="preserve">AcqStore</w:t>
        </w:r>
      </w:hyperlink>
      <w:r>
        <w:t xml:space="preserve"> </w:t>
      </w:r>
      <w:r>
        <w:t xml:space="preserve">as its Python analysis backend. AcqStore loads raw images, including proprietary microscope file formats, implements quantitative analysis algorithms, manages results, and saves completed work. Its documented Python API allows the same algorithms available through the CloudScope desktop application to be used directly in scripts and computational notebooks. After analysis and curation, AcqStore saves the raw images, analysis methods, detection parameters, and results together in a self-contained dataset. This preserves the information needed to reconstruct how an analysis was performed even as analytical methods evolve. AcqStore exports Open Microscopy Environment Zarr (OME-Zarr) and Neurodata Without Borders (NWB) datasets for direct upload to public repositories such as the DANDI Archive and the Brain Image Library.</w:t>
      </w:r>
    </w:p>
    <w:p>
      <w:pPr>
        <w:pStyle w:val="BodyText"/>
      </w:pPr>
      <w:r>
        <w:t xml:space="preserve">AcqStore currently implements analyses for kymograph line-scan images, including capillary blood-flow velocity, heartbeat derived from velocity, diameter changes in cardiac myocytes and smooth muscle, and peak detection from fluorescent reporters such as GCaMP and ATP reporters. Its extensible architecture allows new file loaders and analysis algorithms to be added and made available through the CloudScope desktop application, scripts, and computational notebooks without duplicating their implementation.</w:t>
      </w:r>
    </w:p>
    <w:p>
      <w:pPr>
        <w:pStyle w:val="BodyText"/>
      </w:pPr>
      <w:r>
        <w:t xml:space="preserve">To publish and share results,</w:t>
      </w:r>
      <w:r>
        <w:t xml:space="preserve"> </w:t>
      </w:r>
      <w:hyperlink r:id="rId11">
        <w:r>
          <w:rPr>
            <w:rStyle w:val="Hyperlink"/>
          </w:rPr>
          <w:t xml:space="preserve">CloudScope-Web</w:t>
        </w:r>
      </w:hyperlink>
      <w:r>
        <w:t xml:space="preserve"> </w:t>
      </w:r>
      <w:r>
        <w:t xml:space="preserve">opens the same self-contained OME-Zarr datasets saved by AcqStore as dynamic, interactive figures on publicly accessible web pages. Each web page presents the raw data and analysis performed with AcqStore and curated through CloudScope, allowing reported results to be examined alongside the raw data that produced them. The shared datasets remain available for new analyses, hypotheses, model-building, and collaborations. CloudScope-Web does not require dedicated or complex server infrastructure, making these interactive figures easier to distribute with publications.</w:t>
      </w:r>
    </w:p>
    <w:bookmarkEnd w:id="12"/>
    <w:bookmarkStart w:id="14" w:name="sanpy"/>
    <w:p>
      <w:pPr>
        <w:pStyle w:val="Heading3"/>
      </w:pPr>
      <w:r>
        <w:t xml:space="preserve">SanPy</w:t>
      </w:r>
    </w:p>
    <w:p>
      <w:pPr>
        <w:pStyle w:val="FirstParagraph"/>
      </w:pPr>
      <w:r>
        <w:t xml:space="preserve">Electrophysiology analysis frequently depends on manual measurements or laboratory-specific scripts.</w:t>
      </w:r>
      <w:r>
        <w:t xml:space="preserve"> </w:t>
      </w:r>
      <w:hyperlink r:id="rId13">
        <w:r>
          <w:rPr>
            <w:rStyle w:val="Hyperlink"/>
          </w:rPr>
          <w:t xml:space="preserve">SanPy</w:t>
        </w:r>
      </w:hyperlink>
      <w:r>
        <w:t xml:space="preserve"> </w:t>
      </w:r>
      <w:r>
        <w:t xml:space="preserve">is a general-purpose event-detection and analysis platform for whole-cell current-clamp recordings from neurons and cardiac myocytes. Its primary use is action-potential analysis, but it can also detect and analyze subthreshold events. Once a peak is detected, SanPy applies the same downstream analysis and extracts more than 20 quantitative features from each event.</w:t>
      </w:r>
    </w:p>
    <w:p>
      <w:pPr>
        <w:pStyle w:val="BodyText"/>
      </w:pPr>
      <w:r>
        <w:t xml:space="preserve">The SanPy desktop application allows researchers to open individual recordings or folders and apply detection presets for fast neurons, slow neurons, cardiac myocytes, or subthreshold events. Detected events and their measurements are overlaid on the raw recording, allowing researchers to evaluate the analysis in the context of the original signal and identify results that require curation. Linked graphical views and detection-error summaries support review and curation of individual events. Researchers can save completed analyses, export tabular results, and generate figures from the same workflow.</w:t>
      </w:r>
    </w:p>
    <w:p>
      <w:pPr>
        <w:pStyle w:val="BodyText"/>
      </w:pPr>
      <w:r>
        <w:t xml:space="preserve">SanPy’s documented Python API gives scripts and computational notebooks access to the same detection and analysis methods used by the desktop application. Extensible file loaders, measurements, and graphical plugins allow new research needs to be incorporated without creating a separate analysis system. SanPy supports analysis during electrophysiology experiments, offline analysis, and inspection of published analyzed datasets.</w:t>
      </w:r>
    </w:p>
    <w:bookmarkEnd w:id="14"/>
    <w:bookmarkStart w:id="15" w:name="mapmanager"/>
    <w:p>
      <w:pPr>
        <w:pStyle w:val="Heading3"/>
      </w:pPr>
      <w:r>
        <w:t xml:space="preserve">MapManager</w:t>
      </w:r>
    </w:p>
    <w:p>
      <w:pPr>
        <w:pStyle w:val="FirstParagraph"/>
      </w:pPr>
      <w:r>
        <w:t xml:space="preserve">Longitudinal three-dimensional microscopy studies require researchers to align</w:t>
      </w:r>
      <w:r>
        <w:t xml:space="preserve"> </w:t>
      </w:r>
      <w:r>
        <w:t xml:space="preserve">images and identify the same biological structures across imaging sessions</w:t>
      </w:r>
      <w:r>
        <w:t xml:space="preserve"> </w:t>
      </w:r>
      <w:r>
        <w:t xml:space="preserve">that may span weeks or months. MapManager is routinely used with longitudinal</w:t>
      </w:r>
      <w:r>
        <w:t xml:space="preserve"> </w:t>
      </w:r>
      <w:r>
        <w:t xml:space="preserve">datasets acquired from awake, behaving mice. It allows researchers to examine</w:t>
      </w:r>
      <w:r>
        <w:t xml:space="preserve"> </w:t>
      </w:r>
      <w:r>
        <w:t xml:space="preserve">the persistence, addition, elimination, movement, and fluorescence intensity</w:t>
      </w:r>
      <w:r>
        <w:t xml:space="preserve"> </w:t>
      </w:r>
      <w:r>
        <w:t xml:space="preserve">of structures such as dendritic spines and cell bodies.</w:t>
      </w:r>
    </w:p>
    <w:p>
      <w:pPr>
        <w:pStyle w:val="BodyText"/>
      </w:pPr>
      <w:r>
        <w:t xml:space="preserve">The established Igor Pro version of MapManager automatically aligns images</w:t>
      </w:r>
      <w:r>
        <w:t xml:space="preserve"> </w:t>
      </w:r>
      <w:r>
        <w:t xml:space="preserve">between time points and semi-automatically identifies corresponding annotations</w:t>
      </w:r>
      <w:r>
        <w:t xml:space="preserve"> </w:t>
      </w:r>
      <w:r>
        <w:t xml:space="preserve">across sessions. Researchers can trace neuronal dendritic segments, and</w:t>
      </w:r>
      <w:r>
        <w:t xml:space="preserve"> </w:t>
      </w:r>
      <w:r>
        <w:t xml:space="preserve">MapManager automatically connects each annotated spine to its parent segment.</w:t>
      </w:r>
      <w:r>
        <w:t xml:space="preserve"> </w:t>
      </w:r>
      <w:r>
        <w:t xml:space="preserve">It creates regions of interest for each spine that include the spine, its</w:t>
      </w:r>
      <w:r>
        <w:t xml:space="preserve"> </w:t>
      </w:r>
      <w:r>
        <w:t xml:space="preserve">dendritic segment, and associated ground-truth background measurements. These</w:t>
      </w:r>
      <w:r>
        <w:t xml:space="preserve"> </w:t>
      </w:r>
      <w:r>
        <w:t xml:space="preserve">intensity measurements support longitudinal analysis of submicron,</w:t>
      </w:r>
      <w:r>
        <w:t xml:space="preserve"> </w:t>
      </w:r>
      <w:r>
        <w:t xml:space="preserve">diffraction-limited dendritic spines. Researchers can visualize, annotate,</w:t>
      </w:r>
      <w:r>
        <w:t xml:space="preserve"> </w:t>
      </w:r>
      <w:r>
        <w:t xml:space="preserve">measure, and curate collections containing tens of thousands of annotations.</w:t>
      </w:r>
      <w:r>
        <w:t xml:space="preserve"> </w:t>
      </w:r>
      <w:r>
        <w:t xml:space="preserve">This workflow has supported at least five peer-reviewed publications.</w:t>
      </w:r>
    </w:p>
    <w:p>
      <w:pPr>
        <w:pStyle w:val="BodyText"/>
      </w:pPr>
      <w:r>
        <w:t xml:space="preserve">I am rebuilding this proven workflow as an open-source, extensible, and</w:t>
      </w:r>
      <w:r>
        <w:t xml:space="preserve"> </w:t>
      </w:r>
      <w:r>
        <w:t xml:space="preserve">reproducible software ecosystem. The modern MapManager is under active</w:t>
      </w:r>
      <w:r>
        <w:t xml:space="preserve"> </w:t>
      </w:r>
      <w:r>
        <w:t xml:space="preserve">development and reduces dependence on proprietary software while making its</w:t>
      </w:r>
      <w:r>
        <w:t xml:space="preserve"> </w:t>
      </w:r>
      <w:r>
        <w:t xml:space="preserve">longitudinal-analysis methods easier to reuse, extend, and share.</w:t>
      </w:r>
    </w:p>
    <w:p>
      <w:pPr>
        <w:pStyle w:val="BodyText"/>
      </w:pPr>
      <w:r>
        <w:t xml:space="preserve">MapManagerCore provides the shared Python API for the modern ecosystem.</w:t>
      </w:r>
      <w:r>
        <w:t xml:space="preserve"> </w:t>
      </w:r>
      <w:r>
        <w:t xml:space="preserve">PyMapManager is the desktop application and also makes the analysis available</w:t>
      </w:r>
      <w:r>
        <w:t xml:space="preserve"> </w:t>
      </w:r>
      <w:r>
        <w:t xml:space="preserve">through Python scripts and computational notebooks. WebMapManager is the</w:t>
      </w:r>
      <w:r>
        <w:t xml:space="preserve"> </w:t>
      </w:r>
      <w:r>
        <w:t xml:space="preserve">browser application for visualizing, annotating, and analyzing time-series</w:t>
      </w:r>
      <w:r>
        <w:t xml:space="preserve"> </w:t>
      </w:r>
      <w:r>
        <w:t xml:space="preserve">annotations and three-dimensional image volumes. A working WebMapManager</w:t>
      </w:r>
      <w:r>
        <w:t xml:space="preserve"> </w:t>
      </w:r>
      <w:r>
        <w:t xml:space="preserve">application is publicly available. Together, these components are designed to</w:t>
      </w:r>
      <w:r>
        <w:t xml:space="preserve"> </w:t>
      </w:r>
      <w:r>
        <w:t xml:space="preserve">provide consistent scientific methods through desktop, browser, scripting, and</w:t>
      </w:r>
      <w:r>
        <w:t xml:space="preserve"> </w:t>
      </w:r>
      <w:r>
        <w:t xml:space="preserve">notebook workflows.</w:t>
      </w:r>
    </w:p>
    <w:bookmarkEnd w:id="15"/>
    <w:bookmarkStart w:id="17" w:name="pie"/>
    <w:p>
      <w:pPr>
        <w:pStyle w:val="Heading3"/>
      </w:pPr>
      <w:r>
        <w:t xml:space="preserve">PiE</w:t>
      </w:r>
    </w:p>
    <w:p>
      <w:pPr>
        <w:pStyle w:val="FirstParagraph"/>
      </w:pPr>
      <w:r>
        <w:t xml:space="preserve">Behavioral experiments often require custom hardware control, video acquisition, environmental monitoring, and behavioral scoring.</w:t>
      </w:r>
      <w:r>
        <w:t xml:space="preserve"> </w:t>
      </w:r>
      <w:hyperlink r:id="rId16">
        <w:r>
          <w:rPr>
            <w:rStyle w:val="Hyperlink"/>
          </w:rPr>
          <w:t xml:space="preserve">PiE</w:t>
        </w:r>
      </w:hyperlink>
      <w:r>
        <w:t xml:space="preserve"> </w:t>
      </w:r>
      <w:r>
        <w:t xml:space="preserve">is an open-source system for building reproducible home-cage behavioral experiments. Detailed construction instructions and modular, commercially available components allow an individual behavior-box design to be replicated across an array of boxes.</w:t>
      </w:r>
    </w:p>
    <w:p>
      <w:pPr>
        <w:pStyle w:val="BodyText"/>
      </w:pPr>
      <w:r>
        <w:t xml:space="preserve">Each behavior box can record and stream video, control white and infrared lighting and ventilation, monitor temperature and humidity, and log experimental events alongside the video. A web interface allows experiments to be configured, controlled, and monitored remotely, reducing the need for experimenters to remain beside the apparatus and potentially influence behavior.</w:t>
      </w:r>
    </w:p>
    <w:p>
      <w:pPr>
        <w:pStyle w:val="BodyText"/>
      </w:pPr>
      <w:r>
        <w:t xml:space="preserve">PiE can control and monitor any number of behavior boxes through a centralized web interface. System status, live video monitoring, remote controls, and file synchronization allow experiments to run in parallel and scale from one box to an array. PiE also provides an intuitive, general-purpose desktop application for behavioral scoring that allows researchers to annotate events and perform blinded scoring of randomized video segments. Together, these capabilities allow PiE to acquire around-the-clock video from multiple behavior boxes in parallel, control and monitor experiments remotely to reduce experimenter-induced changes in behavior, and support blinded and randomized behavioral scoring for more reproducible analysis of variable animal behavior.</w:t>
      </w:r>
    </w:p>
    <w:bookmarkEnd w:id="17"/>
    <w:bookmarkStart w:id="20" w:name="brightest-path"/>
    <w:p>
      <w:pPr>
        <w:pStyle w:val="Heading3"/>
      </w:pPr>
      <w:r>
        <w:t xml:space="preserve">Brightest Path</w:t>
      </w:r>
    </w:p>
    <w:p>
      <w:pPr>
        <w:pStyle w:val="FirstParagraph"/>
      </w:pPr>
      <w:r>
        <w:t xml:space="preserve">Tracing filament-like structures is a common problem in scientific image</w:t>
      </w:r>
      <w:r>
        <w:t xml:space="preserve"> </w:t>
      </w:r>
      <w:r>
        <w:t xml:space="preserve">analysis. Axons and dendritic segments are important examples because their</w:t>
      </w:r>
      <w:r>
        <w:t xml:space="preserve"> </w:t>
      </w:r>
      <w:r>
        <w:t xml:space="preserve">paths must be followed through microscopy images before their morphology can be</w:t>
      </w:r>
      <w:r>
        <w:t xml:space="preserve"> </w:t>
      </w:r>
      <w:r>
        <w:t xml:space="preserve">visualized and measured.</w:t>
      </w:r>
      <w:r>
        <w:t xml:space="preserve"> </w:t>
      </w:r>
      <w:hyperlink r:id="rId18">
        <w:r>
          <w:rPr>
            <w:rStyle w:val="Hyperlink"/>
          </w:rPr>
          <w:t xml:space="preserve">Brightest Path</w:t>
        </w:r>
      </w:hyperlink>
      <w:r>
        <w:t xml:space="preserve"> </w:t>
      </w:r>
      <w:r>
        <w:t xml:space="preserve">allows a researcher to select start and end points in an n-dimensional image</w:t>
      </w:r>
      <w:r>
        <w:t xml:space="preserve"> </w:t>
      </w:r>
      <w:r>
        <w:t xml:space="preserve">and calculates the brightest path between them. The resulting image coordinates</w:t>
      </w:r>
      <w:r>
        <w:t xml:space="preserve"> </w:t>
      </w:r>
      <w:r>
        <w:t xml:space="preserve">provide a quantitative representation of the traced structure for subsequent</w:t>
      </w:r>
      <w:r>
        <w:t xml:space="preserve"> </w:t>
      </w:r>
      <w:r>
        <w:t xml:space="preserve">visualization and analysis.</w:t>
      </w:r>
    </w:p>
    <w:p>
      <w:pPr>
        <w:pStyle w:val="BodyText"/>
      </w:pPr>
      <w:r>
        <w:t xml:space="preserve">The tested and documented Python library can be used in scientific</w:t>
      </w:r>
      <w:r>
        <w:t xml:space="preserve"> </w:t>
      </w:r>
      <w:r>
        <w:t xml:space="preserve">applications, scripts, and computational notebooks. A separate</w:t>
      </w:r>
      <w:r>
        <w:t xml:space="preserve"> </w:t>
      </w:r>
      <w:hyperlink r:id="rId19">
        <w:r>
          <w:rPr>
            <w:rStyle w:val="Hyperlink"/>
          </w:rPr>
          <w:t xml:space="preserve">napari tracing plugin</w:t>
        </w:r>
      </w:hyperlink>
      <w:r>
        <w:t xml:space="preserve"> </w:t>
      </w:r>
      <w:r>
        <w:t xml:space="preserve">provides</w:t>
      </w:r>
      <w:r>
        <w:t xml:space="preserve"> </w:t>
      </w:r>
      <w:r>
        <w:t xml:space="preserve">an interactive graphical interface for tracing neuronal dendrites and axons</w:t>
      </w:r>
      <w:r>
        <w:t xml:space="preserve"> </w:t>
      </w:r>
      <w:r>
        <w:t xml:space="preserve">with the same underlying implementation. This makes a common image-analysis</w:t>
      </w:r>
      <w:r>
        <w:t xml:space="preserve"> </w:t>
      </w:r>
      <w:r>
        <w:t xml:space="preserve">method reusable without requiring each laboratory or software project to</w:t>
      </w:r>
      <w:r>
        <w:t xml:space="preserve"> </w:t>
      </w:r>
      <w:r>
        <w:t xml:space="preserve">recreate the algorithm.</w:t>
      </w:r>
    </w:p>
    <w:bookmarkEnd w:id="20"/>
    <w:bookmarkEnd w:id="21"/>
    <w:sectPr>
      <w:type w:val="nextPage"/>
      <w:pgSz w:h="15840" w:w="12240"/>
      <w:pgMar w:bottom="1008" w:footer="0" w:gutter="0" w:header="0" w:left="1008" w:right="1008" w:top="1008"/>
      <w:pgNumType w:fmt="decimal"/>
      <w:formProt w:val="false"/>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swiss"/>
    <w:pitch w:val="variable"/>
  </w:font>
  <w:font w:name="Liberation Sans">
    <w:altName w:val="Arial"/>
    <w:charset w:val="01"/>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kern w:val="2"/>
        <w:sz w:val="24"/>
        <w:szCs w:val="24"/>
        <w:lang w:bidi="ar-SA" w:eastAsia="en-US" w:val="en-US"/>
        <w14:ligatures w14:val="standardContextual"/>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widowControl/>
      <w:suppressAutoHyphens w:val="true"/>
      <w:bidi w:val="0"/>
      <w:spacing w:after="160" w:before="0" w:line="278" w:lineRule="auto"/>
      <w:jc w:val="start"/>
    </w:pPr>
    <w:rPr>
      <w:rFonts w:ascii="Aptos" w:asciiTheme="minorHAnsi" w:cs="" w:cstheme="minorBidi" w:eastAsia="Aptos" w:eastAsiaTheme="minorHAnsi" w:hAnsi="Aptos" w:hAnsiTheme="minorHAnsi"/>
      <w:color w:val="auto"/>
      <w:kern w:val="2"/>
      <w:sz w:val="24"/>
      <w:szCs w:val="24"/>
      <w:lang w:bidi="ar-SA" w:eastAsia="en-US" w:val="en-US"/>
      <w14:ligatures w14:val="standardContextual"/>
    </w:rPr>
  </w:style>
  <w:style w:styleId="Heading1" w:type="paragraph">
    <w:name w:val="heading 1"/>
    <w:basedOn w:val="Normal"/>
    <w:next w:val="Normal"/>
    <w:link w:val="Heading1Char"/>
    <w:uiPriority w:val="9"/>
    <w:qFormat/>
    <w:rsid w:val="00a20283"/>
    <w:pPr>
      <w:keepNext w:val="true"/>
      <w:keepLines/>
      <w:spacing w:after="80" w:before="360"/>
      <w:outlineLvl w:val="0"/>
    </w:pPr>
    <w:rPr>
      <w:rFonts w:ascii="Aptos Display" w:asciiTheme="majorHAnsi" w:cs="" w:cstheme="majorBidi" w:eastAsia="" w:eastAsiaTheme="majorEastAsia" w:hAnsi="Aptos Display" w:hAnsiTheme="majorHAnsi"/>
      <w:color w:themeColor="accent1" w:themeShade="bf" w:val="0F4761"/>
      <w:sz w:val="40"/>
      <w:szCs w:val="40"/>
    </w:rPr>
  </w:style>
  <w:style w:styleId="Heading2" w:type="paragraph">
    <w:name w:val="heading 2"/>
    <w:basedOn w:val="cvheader1"/>
    <w:next w:val="Normal"/>
    <w:link w:val="Heading2Char"/>
    <w:uiPriority w:val="9"/>
    <w:semiHidden/>
    <w:unhideWhenUsed/>
    <w:qFormat/>
    <w:rsid w:val="00a20283"/>
    <w:pPr>
      <w:keepNext w:val="true"/>
      <w:keepLines/>
      <w:spacing w:after="80" w:before="160"/>
      <w:outlineLvl w:val="1"/>
    </w:pPr>
    <w:rPr>
      <w:rFonts w:ascii="Arial" w:cs="" w:cstheme="majorBidi" w:eastAsia="" w:eastAsiaTheme="majorEastAsia" w:hAnsi="Arial"/>
    </w:rPr>
  </w:style>
  <w:style w:styleId="Heading3" w:type="paragraph">
    <w:name w:val="heading 3"/>
    <w:basedOn w:val="Heading2"/>
    <w:next w:val="Normal"/>
    <w:link w:val="Heading3Char"/>
    <w:uiPriority w:val="9"/>
    <w:semiHidden/>
    <w:unhideWhenUsed/>
    <w:qFormat/>
    <w:rsid w:val="00a20283"/>
    <w:pPr>
      <w:keepNext w:val="true"/>
      <w:keepLines/>
      <w:spacing w:after="80" w:before="160"/>
      <w:outlineLvl w:val="2"/>
    </w:pPr>
    <w:rPr>
      <w:rFonts w:cs="" w:cstheme="majorBidi" w:eastAsia="" w:eastAsiaTheme="majorEastAsia"/>
      <w:u w:val="none"/>
    </w:rPr>
  </w:style>
  <w:style w:styleId="Heading4" w:type="paragraph">
    <w:name w:val="heading 4"/>
    <w:basedOn w:val="Normal"/>
    <w:next w:val="Normal"/>
    <w:link w:val="Heading4Char"/>
    <w:uiPriority w:val="9"/>
    <w:semiHidden/>
    <w:unhideWhenUsed/>
    <w:qFormat/>
    <w:rsid w:val="00a20283"/>
    <w:pPr>
      <w:keepNext w:val="true"/>
      <w:keepLines/>
      <w:spacing w:after="40" w:before="80"/>
      <w:outlineLvl w:val="3"/>
    </w:pPr>
    <w:rPr>
      <w:rFonts w:cs="" w:cstheme="majorBidi" w:eastAsia=""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a20283"/>
    <w:pPr>
      <w:keepNext w:val="true"/>
      <w:keepLines/>
      <w:spacing w:after="40" w:before="80"/>
      <w:outlineLvl w:val="4"/>
    </w:pPr>
    <w:rPr>
      <w:rFonts w:cs="" w:cstheme="majorBidi" w:eastAsia="" w:eastAsiaTheme="majorEastAsia"/>
      <w:color w:themeColor="accent1" w:themeShade="bf" w:val="0F4761"/>
    </w:rPr>
  </w:style>
  <w:style w:styleId="Heading6" w:type="paragraph">
    <w:name w:val="heading 6"/>
    <w:basedOn w:val="Normal"/>
    <w:next w:val="Normal"/>
    <w:link w:val="Heading6Char"/>
    <w:uiPriority w:val="9"/>
    <w:semiHidden/>
    <w:unhideWhenUsed/>
    <w:qFormat/>
    <w:rsid w:val="00a20283"/>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a20283"/>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Normal"/>
    <w:link w:val="Heading8Char"/>
    <w:uiPriority w:val="9"/>
    <w:semiHidden/>
    <w:unhideWhenUsed/>
    <w:qFormat/>
    <w:rsid w:val="00a20283"/>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a20283"/>
    <w:pPr>
      <w:keepNext w:val="true"/>
      <w:keepLines/>
      <w:spacing w:after="0" w:before="0"/>
      <w:outlineLvl w:val="8"/>
    </w:pPr>
    <w:rPr>
      <w:rFonts w:cs="" w:cstheme="majorBidi" w:eastAsia="" w:eastAsiaTheme="majorEastAsia"/>
      <w:color w:themeColor="text1" w:themeTint="d8" w:val="272727"/>
    </w:rPr>
  </w:style>
  <w:style w:default="1" w:styleId="DefaultParagraphFont" w:type="character">
    <w:name w:val="Default Paragraph Font"/>
    <w:uiPriority w:val="1"/>
    <w:unhideWhenUsed/>
    <w:rPr/>
  </w:style>
  <w:style w:customStyle="1" w:styleId="Heading1Char" w:type="character">
    <w:name w:val="Heading 1 Char"/>
    <w:basedOn w:val="DefaultParagraphFont"/>
    <w:link w:val="Heading1"/>
    <w:uiPriority w:val="9"/>
    <w:rsid w:val="00a20283"/>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20283"/>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20283"/>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20283"/>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rsid w:val="00a20283"/>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rsid w:val="00a20283"/>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rsid w:val="00a20283"/>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rsid w:val="00a20283"/>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rsid w:val="00a20283"/>
    <w:rPr>
      <w:rFonts w:cs="" w:cstheme="majorBidi" w:eastAsia="" w:eastAsiaTheme="majorEastAsia"/>
      <w:color w:themeColor="text1" w:themeTint="d8" w:val="272727"/>
    </w:rPr>
  </w:style>
  <w:style w:customStyle="1" w:styleId="TitleChar" w:type="character">
    <w:name w:val="Title Char"/>
    <w:basedOn w:val="DefaultParagraphFont"/>
    <w:link w:val="Title"/>
    <w:uiPriority w:val="10"/>
    <w:rsid w:val="00a20283"/>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rsid w:val="00a20283"/>
    <w:rPr>
      <w:rFonts w:cs="" w:cstheme="majorBidi" w:eastAsia="" w:eastAsiaTheme="majorEastAsia"/>
      <w:color w:themeColor="text1" w:themeTint="a6" w:val="595959"/>
      <w:spacing w:val="15"/>
      <w:sz w:val="28"/>
      <w:szCs w:val="28"/>
    </w:rPr>
  </w:style>
  <w:style w:customStyle="1" w:styleId="QuoteChar" w:type="character">
    <w:name w:val="Quote Char"/>
    <w:basedOn w:val="DefaultParagraphFont"/>
    <w:link w:val="Quote"/>
    <w:uiPriority w:val="29"/>
    <w:rsid w:val="00a20283"/>
    <w:rPr>
      <w:i/>
      <w:iCs/>
      <w:color w:themeColor="text1" w:themeTint="bf" w:val="404040"/>
    </w:rPr>
  </w:style>
  <w:style w:styleId="IntenseEmphasis" w:type="character">
    <w:name w:val="Intense Emphasis"/>
    <w:basedOn w:val="DefaultParagraphFont"/>
    <w:uiPriority w:val="21"/>
    <w:qFormat/>
    <w:rsid w:val="00a20283"/>
    <w:rPr>
      <w:i/>
      <w:iCs/>
      <w:color w:themeColor="accent1" w:themeShade="bf" w:val="0F4761"/>
    </w:rPr>
  </w:style>
  <w:style w:customStyle="1" w:styleId="IntenseQuoteChar" w:type="character">
    <w:name w:val="Intense Quote Char"/>
    <w:basedOn w:val="DefaultParagraphFont"/>
    <w:link w:val="IntenseQuote"/>
    <w:uiPriority w:val="30"/>
    <w:rsid w:val="00a20283"/>
    <w:rPr>
      <w:i/>
      <w:iCs/>
      <w:color w:themeColor="accent1" w:themeShade="bf" w:val="0F4761"/>
    </w:rPr>
  </w:style>
  <w:style w:styleId="IntenseReference" w:type="character">
    <w:name w:val="Intense Reference"/>
    <w:basedOn w:val="DefaultParagraphFont"/>
    <w:uiPriority w:val="32"/>
    <w:qFormat/>
    <w:rsid w:val="00a20283"/>
    <w:rPr>
      <w:b/>
      <w:bCs/>
      <w:smallCaps/>
      <w:color w:themeColor="accent1" w:themeShade="bf" w:val="0F4761"/>
      <w:spacing w:val="5"/>
    </w:rPr>
  </w:style>
  <w:style w:styleId="Hyperlink" w:type="character">
    <w:name w:val="Hyperlink"/>
    <w:basedOn w:val="DefaultParagraphFont"/>
    <w:uiPriority w:val="99"/>
    <w:unhideWhenUsed/>
    <w:rsid w:val="00994866"/>
    <w:rPr>
      <w:color w:themeColor="hyperlink" w:val="467886"/>
      <w:u w:val="single"/>
    </w:rPr>
  </w:style>
  <w:style w:styleId="UnresolvedMention" w:type="character">
    <w:name w:val="Unresolved Mention"/>
    <w:basedOn w:val="DefaultParagraphFont"/>
    <w:uiPriority w:val="99"/>
    <w:semiHidden/>
    <w:unhideWhenUsed/>
    <w:rsid w:val="00994866"/>
    <w:rPr>
      <w:color w:val="605E5C"/>
      <w:shd w:fill="E1DFDD" w:val="clear"/>
    </w:rPr>
  </w:style>
  <w:style w:styleId="Heading" w:type="paragraph">
    <w:name w:val="Heading"/>
    <w:basedOn w:val="Normal"/>
    <w:next w:val="BodyText"/>
    <w:pPr>
      <w:keepNext w:val="true"/>
      <w:spacing w:after="120" w:before="240"/>
    </w:pPr>
    <w:rPr>
      <w:rFonts w:ascii="Liberation Sans" w:cs="Arial Unicode MS" w:eastAsia="Arial Unicode MS" w:hAnsi="Liberation Sans"/>
      <w:sz w:val="28"/>
      <w:szCs w:val="28"/>
    </w:rPr>
  </w:style>
  <w:style w:styleId="BodyText" w:type="paragraph">
    <w:name w:val="Body Text"/>
    <w:basedOn w:val="Normal"/>
    <w:pPr>
      <w:spacing w:after="115" w:before="0" w:line="276" w:lineRule="auto"/>
    </w:pPr>
    <w:rPr>
      <w:rFonts w:ascii="Arial" w:hAnsi="Arial"/>
      <w:sz w:val="22"/>
    </w:rPr>
  </w:style>
  <w:style w:styleId="List" w:type="paragraph">
    <w:name w:val="List"/>
    <w:basedOn w:val="BodyText"/>
    <w:pPr/>
    <w:rPr>
      <w:rFonts w:cs="Arial Unicode MS"/>
    </w:rPr>
  </w:style>
  <w:style w:styleId="Caption" w:type="paragraph">
    <w:name w:val="caption"/>
    <w:basedOn w:val="Normal"/>
    <w:pPr>
      <w:suppressLineNumbers/>
      <w:spacing w:after="120" w:before="120"/>
    </w:pPr>
    <w:rPr>
      <w:rFonts w:cs="Arial Unicode MS"/>
      <w:i/>
      <w:iCs/>
      <w:sz w:val="24"/>
      <w:szCs w:val="24"/>
    </w:rPr>
  </w:style>
  <w:style w:styleId="Index" w:type="paragraph">
    <w:name w:val="Index"/>
    <w:basedOn w:val="Normal"/>
    <w:pPr>
      <w:suppressLineNumbers/>
    </w:pPr>
    <w:rPr>
      <w:rFonts w:cs="Arial Unicode MS"/>
    </w:rPr>
  </w:style>
  <w:style w:styleId="Title" w:type="paragraph">
    <w:name w:val="Title"/>
    <w:basedOn w:val="Normal"/>
    <w:next w:val="Normal"/>
    <w:link w:val="TitleChar"/>
    <w:uiPriority w:val="10"/>
    <w:qFormat/>
    <w:rsid w:val="00a20283"/>
    <w:pPr>
      <w:spacing w:after="80" w:before="0" w:line="240" w:lineRule="auto"/>
      <w:contextualSpacing/>
    </w:pPr>
    <w:rPr>
      <w:rFonts w:ascii="Aptos Display" w:asciiTheme="majorHAnsi" w:cs="" w:cstheme="majorBidi" w:eastAsia="" w:eastAsiaTheme="majorEastAsia" w:hAnsi="Aptos Display" w:hAnsiTheme="majorHAnsi"/>
      <w:spacing w:val="-10"/>
      <w:kern w:val="2"/>
      <w:sz w:val="56"/>
      <w:szCs w:val="56"/>
    </w:rPr>
  </w:style>
  <w:style w:styleId="Subtitle" w:type="paragraph">
    <w:name w:val="Subtitle"/>
    <w:basedOn w:val="Normal"/>
    <w:next w:val="Normal"/>
    <w:link w:val="SubtitleChar"/>
    <w:uiPriority w:val="11"/>
    <w:qFormat/>
    <w:rsid w:val="00a20283"/>
    <w:pPr/>
    <w:rPr>
      <w:rFonts w:cs="" w:cstheme="majorBidi" w:eastAsia="" w:eastAsiaTheme="majorEastAsia"/>
      <w:color w:themeColor="text1" w:themeTint="a6" w:val="595959"/>
      <w:spacing w:val="15"/>
      <w:sz w:val="28"/>
      <w:szCs w:val="28"/>
    </w:rPr>
  </w:style>
  <w:style w:styleId="Quote" w:type="paragraph">
    <w:name w:val="Quote"/>
    <w:basedOn w:val="Normal"/>
    <w:next w:val="Normal"/>
    <w:link w:val="QuoteChar"/>
    <w:uiPriority w:val="29"/>
    <w:qFormat/>
    <w:rsid w:val="00a20283"/>
    <w:pPr>
      <w:spacing w:after="160" w:before="160"/>
      <w:jc w:val="center"/>
    </w:pPr>
    <w:rPr>
      <w:i/>
      <w:iCs/>
      <w:color w:themeColor="text1" w:themeTint="bf" w:val="404040"/>
    </w:rPr>
  </w:style>
  <w:style w:styleId="ListParagraph" w:type="paragraph">
    <w:name w:val="List Paragraph"/>
    <w:basedOn w:val="Normal"/>
    <w:uiPriority w:val="34"/>
    <w:qFormat/>
    <w:rsid w:val="00a20283"/>
    <w:pPr>
      <w:spacing w:after="160" w:before="0"/>
      <w:ind w:start="720"/>
      <w:contextualSpacing/>
    </w:pPr>
    <w:rPr/>
  </w:style>
  <w:style w:styleId="IntenseQuote" w:type="paragraph">
    <w:name w:val="Intense Quote"/>
    <w:basedOn w:val="Normal"/>
    <w:next w:val="Normal"/>
    <w:link w:val="IntenseQuoteChar"/>
    <w:uiPriority w:val="30"/>
    <w:qFormat/>
    <w:rsid w:val="00a20283"/>
    <w:pPr>
      <w:pBdr>
        <w:top w:color="0F4761" w:space="10" w:sz="4" w:themeColor="accent1" w:themeShade="bf" w:val="single"/>
        <w:bottom w:color="0F4761" w:space="10" w:sz="4" w:themeColor="accent1" w:themeShade="bf" w:val="single"/>
      </w:pBdr>
      <w:spacing w:after="360" w:before="360"/>
      <w:ind w:end="864" w:start="864"/>
      <w:jc w:val="center"/>
    </w:pPr>
    <w:rPr>
      <w:i/>
      <w:iCs/>
      <w:color w:themeColor="accent1" w:themeShade="bf" w:val="0F4761"/>
    </w:rPr>
  </w:style>
  <w:style w:styleId="FirstParagraph" w:type="paragraph">
    <w:name w:val="First Paragraph"/>
    <w:basedOn w:val="BodyText"/>
    <w:next w:val="BodyText"/>
    <w:pPr/>
    <w:rPr/>
  </w:style>
  <w:style w:styleId="cvbody" w:type="paragraph">
    <w:name w:val="cv body"/>
    <w:basedOn w:val="BodyText"/>
    <w:pPr>
      <w:spacing w:after="115" w:before="0"/>
    </w:pPr>
    <w:rPr>
      <w:rFonts w:ascii="Arial" w:hAnsi="Arial"/>
      <w:sz w:val="22"/>
    </w:rPr>
  </w:style>
  <w:style w:styleId="cvreference" w:type="paragraph">
    <w:name w:val="cv reference"/>
    <w:basedOn w:val="cvbody"/>
    <w:pPr>
      <w:tabs>
        <w:tab w:pos="720" w:val="clear"/>
      </w:tabs>
      <w:ind w:hanging="360" w:start="360"/>
    </w:pPr>
    <w:rPr/>
  </w:style>
  <w:style w:styleId="cvheader1" w:type="paragraph">
    <w:name w:val="cv header 1"/>
    <w:basedOn w:val="Normal"/>
    <w:pPr>
      <w:spacing w:after="58" w:before="115" w:line="240" w:lineRule="auto"/>
    </w:pPr>
    <w:rPr>
      <w:rFonts w:ascii="Arial" w:hAnsi="Arial"/>
      <w:b/>
      <w:sz w:val="22"/>
      <w:u w:val="single"/>
    </w:rPr>
  </w:style>
  <w:style w:styleId="Compact" w:type="paragraph">
    <w:name w:val="Compact"/>
    <w:basedOn w:val="BodyText"/>
    <w:pPr>
      <w:spacing w:after="36" w:before="36"/>
    </w:pPr>
    <w:rPr/>
  </w:style>
  <w:style w:styleId="cvheader2" w:type="paragraph">
    <w:name w:val="cv header 2"/>
    <w:basedOn w:val="cvheader1"/>
    <w:pPr/>
    <w:rPr>
      <w:b w:val="false"/>
      <w:i/>
      <w:u w:val="none"/>
    </w:rPr>
  </w:style>
  <w:style w:styleId="cvtechskill" w:type="paragraph">
    <w:name w:val="cv tech skill"/>
    <w:basedOn w:val="cvbody"/>
    <w:pPr>
      <w:spacing w:after="58" w:before="0"/>
    </w:pPr>
    <w:rPr/>
  </w:style>
  <w:style w:default="1" w:styleId="NoList" w:type="numbering">
    <w:name w:val="No List"/>
    <w:uiPriority w:val="99"/>
    <w:semiHidden/>
    <w:unhideWhenUsed/>
  </w:style>
  <w:style w:default="1" w:styleId="TableNormal" w:type="table">
    <w:name w:val="Normal Table"/>
    <w:uiPriority w:val="99"/>
    <w:semiHidden/>
    <w:unhideWhenUsed/>
    <w:tblPr>
      <w:tblCellMar>
        <w:top w:type="dxa" w:w="0"/>
        <w:left w:type="dxa" w:w="108"/>
        <w:bottom w:type="dxa" w:w="0"/>
        <w:right w:type="dxa" w:w="108"/>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cudmore.github.io/SanPy" TargetMode="External" /><Relationship Type="http://schemas.openxmlformats.org/officeDocument/2006/relationships/hyperlink" Id="rId16" Target="https://cudmore.github.io/pie-doc" TargetMode="External" /><Relationship Type="http://schemas.openxmlformats.org/officeDocument/2006/relationships/hyperlink" Id="rId19" Target="https://github.com/mapmanager/napari-tracing" TargetMode="External" /><Relationship Type="http://schemas.openxmlformats.org/officeDocument/2006/relationships/hyperlink" Id="rId10" Target="https://mapmanager.github.io/acqstore/" TargetMode="External" /><Relationship Type="http://schemas.openxmlformats.org/officeDocument/2006/relationships/hyperlink" Id="rId18" Target="https://mapmanager.github.io/brightest-path-lib/" TargetMode="External" /><Relationship Type="http://schemas.openxmlformats.org/officeDocument/2006/relationships/hyperlink" Id="rId9" Target="https://mapmanager.github.io/cloudscope-app/" TargetMode="External" /><Relationship Type="http://schemas.openxmlformats.org/officeDocument/2006/relationships/hyperlink" Id="rId11" Target="https://mapmanager.github.io/cloudscope-web" TargetMode="External" /></Relationships>
</file>

<file path=word/_rels/footnotes.xml.rels><?xml version="1.0" encoding="UTF-8"?><Relationships xmlns="http://schemas.openxmlformats.org/package/2006/relationships"><Relationship Type="http://schemas.openxmlformats.org/officeDocument/2006/relationships/hyperlink" Id="rId13" Target="https://cudmore.github.io/SanPy" TargetMode="External" /><Relationship Type="http://schemas.openxmlformats.org/officeDocument/2006/relationships/hyperlink" Id="rId16" Target="https://cudmore.github.io/pie-doc" TargetMode="External" /><Relationship Type="http://schemas.openxmlformats.org/officeDocument/2006/relationships/hyperlink" Id="rId19" Target="https://github.com/mapmanager/napari-tracing" TargetMode="External" /><Relationship Type="http://schemas.openxmlformats.org/officeDocument/2006/relationships/hyperlink" Id="rId10" Target="https://mapmanager.github.io/acqstore/" TargetMode="External" /><Relationship Type="http://schemas.openxmlformats.org/officeDocument/2006/relationships/hyperlink" Id="rId18" Target="https://mapmanager.github.io/brightest-path-lib/" TargetMode="External" /><Relationship Type="http://schemas.openxmlformats.org/officeDocument/2006/relationships/hyperlink" Id="rId9" Target="https://mapmanager.github.io/cloudscope-app/" TargetMode="External" /><Relationship Type="http://schemas.openxmlformats.org/officeDocument/2006/relationships/hyperlink" Id="rId11" Target="https://mapmanager.github.io/cloudscope-web"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88</TotalTime>
  <Application>LibreOffice/26.8.0.3$MacOSX_AARCH64 LibreOffice_project/bce0998afefdbc355585ca324285661a2170ba77</Application>
  <AppVersion>15.0000</AppVersion>
  <Pages>6</Pages>
  <Words>1762</Words>
  <Characters>11628</Characters>
  <CharactersWithSpaces>13424</CharactersWithSpaces>
  <Paragraphs>139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2026-08-30T23:27:00Z</dcterms:created>
  <dcterms:modified xsi:type="dcterms:W3CDTF">2026-08-30T23:27:00Z</dcterms:modified>
</cp:coreProperties>
</file>

<file path=docProps/custom.xml><?xml version="1.0" encoding="utf-8"?>
<Properties xmlns="http://schemas.openxmlformats.org/officeDocument/2006/custom-properties" xmlns:vt="http://schemas.openxmlformats.org/officeDocument/2006/docPropsVTypes"/>
</file>