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596b6f8c511f4606f9618c22e9590597cd76ef"/>
    <w:p>
      <w:pPr>
        <w:pStyle w:val="Heading2"/>
      </w:pPr>
      <w:r>
        <w:t xml:space="preserve">Selected Publications ·</w:t>
      </w:r>
      <w:r>
        <w:t xml:space="preserve"> </w:t>
      </w:r>
      <w:hyperlink r:id="rId9">
        <w:r>
          <w:rPr>
            <w:rStyle w:val="Hyperlink"/>
          </w:rPr>
          <w:t xml:space="preserve">PubMed for full list</w:t>
        </w:r>
      </w:hyperlink>
    </w:p>
    <w:p>
      <w:pPr>
        <w:pStyle w:val="FirstParagraph"/>
      </w:pPr>
      <w:r>
        <w:t xml:space="preserve">Benedict J,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Oden D, Spruell A, Linden DJ (2025) The Lateral Habenula Is Necessary for Maternal Behavior in the Naturally Parturient Primiparous Mouse Dam. eNeuro 13:12(1).</w:t>
      </w:r>
      <w:r>
        <w:t xml:space="preserve"> </w:t>
      </w:r>
      <w:hyperlink r:id="rId10">
        <w:r>
          <w:rPr>
            <w:rStyle w:val="Hyperlink"/>
          </w:rPr>
          <w:t xml:space="preserve">PubMed: 39689968</w:t>
        </w:r>
      </w:hyperlink>
      <w:r>
        <w:t xml:space="preserve">.</w:t>
      </w:r>
    </w:p>
    <w:p>
      <w:pPr>
        <w:pStyle w:val="BodyText"/>
      </w:pPr>
      <w:r>
        <w:t xml:space="preserve">Guarina L, Le JT, Griffith TN, Santana LF,</w:t>
      </w:r>
      <w:r>
        <w:t xml:space="preserve"> </w:t>
      </w:r>
      <w:r>
        <w:rPr>
          <w:b/>
          <w:bCs/>
        </w:rPr>
        <w:t xml:space="preserve">Cudmore RH</w:t>
      </w:r>
      <w:r>
        <w:t xml:space="preserve"> </w:t>
      </w:r>
      <w:r>
        <w:t xml:space="preserve">(2024) SanPy: Software for the analysis and visualization of whole-cell current-clamp recordings. Biophys J 123:759–769.</w:t>
      </w:r>
      <w:r>
        <w:t xml:space="preserve"> </w:t>
      </w:r>
      <w:hyperlink r:id="rId11">
        <w:r>
          <w:rPr>
            <w:rStyle w:val="Hyperlink"/>
          </w:rPr>
          <w:t xml:space="preserve">PubMed: 38419330</w:t>
        </w:r>
      </w:hyperlink>
      <w:r>
        <w:t xml:space="preserve">.</w:t>
      </w:r>
    </w:p>
    <w:p>
      <w:pPr>
        <w:pStyle w:val="BodyText"/>
      </w:pPr>
      <w:r>
        <w:t xml:space="preserve">Jha V,</w:t>
      </w:r>
      <w:r>
        <w:t xml:space="preserve"> </w:t>
      </w:r>
      <w:r>
        <w:rPr>
          <w:b/>
          <w:bCs/>
        </w:rPr>
        <w:t xml:space="preserve">Cudmore RH</w:t>
      </w:r>
      <w:r>
        <w:t xml:space="preserve"> </w:t>
      </w:r>
      <w:r>
        <w:t xml:space="preserve">(2024) Brightest path tracing: A Python package to trace the brightest path in 2D and 3D images. bioRxiv:2023.07.16.549233.</w:t>
      </w:r>
      <w:r>
        <w:t xml:space="preserve"> </w:t>
      </w:r>
      <w:hyperlink r:id="rId12">
        <w:r>
          <w:rPr>
            <w:rStyle w:val="Hyperlink"/>
          </w:rPr>
          <w:t xml:space="preserve">PubMed: 37503184</w:t>
        </w:r>
      </w:hyperlink>
      <w:r>
        <w:t xml:space="preserve">.</w:t>
      </w:r>
    </w:p>
    <w:p>
      <w:pPr>
        <w:pStyle w:val="BodyText"/>
      </w:pPr>
      <w:r>
        <w:t xml:space="preserve">Lopez-Ortega E, Choi JY, Hong I, Roth RH,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Huganir RL (2024) Stimulus-dependent synaptic plasticity underlies neuronal circuitry refinement in the mouse primary visual cortex. Cell Rep 43(4):113966.</w:t>
      </w:r>
      <w:r>
        <w:t xml:space="preserve"> </w:t>
      </w:r>
      <w:hyperlink r:id="rId13">
        <w:r>
          <w:rPr>
            <w:rStyle w:val="Hyperlink"/>
          </w:rPr>
          <w:t xml:space="preserve">PubMed: 38507408</w:t>
        </w:r>
      </w:hyperlink>
      <w:r>
        <w:t xml:space="preserve">.</w:t>
      </w:r>
    </w:p>
    <w:p>
      <w:pPr>
        <w:pStyle w:val="BodyText"/>
      </w:pPr>
      <w:r>
        <w:t xml:space="preserve">Benedict J,</w:t>
      </w:r>
      <w:r>
        <w:t xml:space="preserve"> </w:t>
      </w:r>
      <w:r>
        <w:rPr>
          <w:b/>
          <w:bCs/>
        </w:rPr>
        <w:t xml:space="preserve">Cudmore RH</w:t>
      </w:r>
      <w:r>
        <w:t xml:space="preserve"> </w:t>
      </w:r>
      <w:r>
        <w:t xml:space="preserve">(2023) PiE: an open-source pipeline for home cage behavioral analysis. Front Neurosci 17:1222644.</w:t>
      </w:r>
      <w:r>
        <w:t xml:space="preserve"> </w:t>
      </w:r>
      <w:hyperlink r:id="rId14">
        <w:r>
          <w:rPr>
            <w:rStyle w:val="Hyperlink"/>
          </w:rPr>
          <w:t xml:space="preserve">PubMed: 37583418</w:t>
        </w:r>
      </w:hyperlink>
      <w:r>
        <w:t xml:space="preserve">.</w:t>
      </w:r>
    </w:p>
    <w:p>
      <w:pPr>
        <w:pStyle w:val="BodyText"/>
      </w:pPr>
      <w:r>
        <w:t xml:space="preserve">Grainger N, Guarina L,</w:t>
      </w:r>
      <w:r>
        <w:t xml:space="preserve"> </w:t>
      </w:r>
      <w:r>
        <w:rPr>
          <w:b/>
          <w:bCs/>
        </w:rPr>
        <w:t xml:space="preserve">Cudmore RH</w:t>
      </w:r>
      <w:r>
        <w:t xml:space="preserve">*, Santana LF* (2021) The Organization of the Sinoatrial Node Microvasculature Varies Regionally to Match Local Myocyte Excitability. Function 2:zqab031.</w:t>
      </w:r>
      <w:r>
        <w:t xml:space="preserve"> </w:t>
      </w:r>
      <w:hyperlink r:id="rId15">
        <w:r>
          <w:rPr>
            <w:rStyle w:val="Hyperlink"/>
          </w:rPr>
          <w:t xml:space="preserve">PubMed: 34250490</w:t>
        </w:r>
      </w:hyperlink>
      <w:r>
        <w:t xml:space="preserve">.</w:t>
      </w:r>
    </w:p>
    <w:p>
      <w:pPr>
        <w:pStyle w:val="BodyText"/>
      </w:pPr>
      <w:r>
        <w:t xml:space="preserve">* Equal contribution, corresponding author</w:t>
      </w:r>
    </w:p>
    <w:p>
      <w:pPr>
        <w:pStyle w:val="BodyText"/>
      </w:pPr>
      <w:r>
        <w:t xml:space="preserve">Li Y, Ding R, Wang F, Guo C, Liu A, Wei L, Yuan S, Chen F, Hou S, Ma Z, Zhang Y,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Wang X, Shen H (2020) Transient ischemia-reperfusion induces cortical hyperactivity and AMPAR trafficking in the somatosensory cortex. Aging 12:4299–4321.</w:t>
      </w:r>
      <w:r>
        <w:t xml:space="preserve"> </w:t>
      </w:r>
      <w:hyperlink r:id="rId16">
        <w:r>
          <w:rPr>
            <w:rStyle w:val="Hyperlink"/>
          </w:rPr>
          <w:t xml:space="preserve">PubMed: 32155129</w:t>
        </w:r>
      </w:hyperlink>
      <w:r>
        <w:t xml:space="preserve">.</w:t>
      </w:r>
    </w:p>
    <w:p>
      <w:pPr>
        <w:pStyle w:val="BodyText"/>
      </w:pPr>
      <w:r>
        <w:t xml:space="preserve">Roth RH,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Tan HL, Hong I, Zhang Y, Huganir RL (2020) Cortical Synaptic AMPA Receptor Plasticity during Motor Learning. Neuron 105:895-908.e5.</w:t>
      </w:r>
      <w:r>
        <w:t xml:space="preserve"> </w:t>
      </w:r>
      <w:hyperlink r:id="rId17">
        <w:r>
          <w:rPr>
            <w:rStyle w:val="Hyperlink"/>
          </w:rPr>
          <w:t xml:space="preserve">PubMed: 31901303</w:t>
        </w:r>
      </w:hyperlink>
      <w:r>
        <w:t xml:space="preserve">.</w:t>
      </w:r>
    </w:p>
    <w:p>
      <w:pPr>
        <w:pStyle w:val="BodyText"/>
      </w:pPr>
      <w:r>
        <w:t xml:space="preserve">Tan HL, Roth RH, Graves AR,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Huganir RL (2020) Lamina-specific AMPA receptor dynamics following visual deprivation in vivo. Elife 9:e52420.</w:t>
      </w:r>
      <w:r>
        <w:t xml:space="preserve"> </w:t>
      </w:r>
      <w:hyperlink r:id="rId18">
        <w:r>
          <w:rPr>
            <w:rStyle w:val="Hyperlink"/>
          </w:rPr>
          <w:t xml:space="preserve">PubMed: 32125273</w:t>
        </w:r>
      </w:hyperlink>
      <w:r>
        <w:t xml:space="preserve">.</w:t>
      </w:r>
    </w:p>
    <w:p>
      <w:pPr>
        <w:pStyle w:val="BodyText"/>
      </w:pPr>
      <w:r>
        <w:t xml:space="preserve">Ye Z,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Linden DJ (2019) Estrogen-Dependent Functional Spine Dynamics in Neocortical Pyramidal Neurons of the Mouse. J Neurosci 39:4874–4888.</w:t>
      </w:r>
      <w:r>
        <w:t xml:space="preserve"> </w:t>
      </w:r>
      <w:hyperlink r:id="rId19">
        <w:r>
          <w:rPr>
            <w:rStyle w:val="Hyperlink"/>
          </w:rPr>
          <w:t xml:space="preserve">PubMed: 30992373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Cudmore RH</w:t>
      </w:r>
      <w:r>
        <w:t xml:space="preserve">, Dougherty SE, Linden DJ (2017) Cerebral vascular structure in the motor cortex of adult mice is stable and is not altered by voluntary exercise. J Cereb Blood Flow Metab 37(12):3725-3743.</w:t>
      </w:r>
      <w:r>
        <w:t xml:space="preserve"> </w:t>
      </w:r>
      <w:hyperlink r:id="rId20">
        <w:r>
          <w:rPr>
            <w:rStyle w:val="Hyperlink"/>
          </w:rPr>
          <w:t xml:space="preserve">PubMed: 28059584</w:t>
        </w:r>
      </w:hyperlink>
      <w:r>
        <w:t xml:space="preserve">.</w:t>
      </w:r>
    </w:p>
    <w:p>
      <w:pPr>
        <w:pStyle w:val="BodyText"/>
      </w:pPr>
      <w:r>
        <w:t xml:space="preserve">Jin Y, Dougherty SE, Wood K, Sun L,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Abdallah A, Pletnikov M, Hashemi P, Linden DJ (2016) Regrowth of Serotonin Axons in the Adult Mouse Brain Following Injury. Neuron 91(4):748-62.</w:t>
      </w:r>
      <w:r>
        <w:t xml:space="preserve"> </w:t>
      </w:r>
      <w:hyperlink r:id="rId21">
        <w:r>
          <w:rPr>
            <w:rStyle w:val="Hyperlink"/>
          </w:rPr>
          <w:t xml:space="preserve">PubMed: 27499084</w:t>
        </w:r>
      </w:hyperlink>
      <w:r>
        <w:t xml:space="preserve">.</w:t>
      </w:r>
    </w:p>
    <w:p>
      <w:pPr>
        <w:pStyle w:val="BodyText"/>
      </w:pPr>
      <w:r>
        <w:t xml:space="preserve">Zhang Y*,</w:t>
      </w:r>
      <w:r>
        <w:t xml:space="preserve"> </w:t>
      </w:r>
      <w:r>
        <w:rPr>
          <w:b/>
          <w:bCs/>
        </w:rPr>
        <w:t xml:space="preserve">Cudmore RH</w:t>
      </w:r>
      <w:r>
        <w:t xml:space="preserve">*, Lin D, Linden DJ, Huganir RL (2015) Visualization of NMDA receptor– dependent AMPA receptor synaptic plasticity in vivo. Nature Neuroscience 18(3):402-7.</w:t>
      </w:r>
      <w:r>
        <w:t xml:space="preserve"> </w:t>
      </w:r>
      <w:hyperlink r:id="rId22">
        <w:r>
          <w:rPr>
            <w:rStyle w:val="Hyperlink"/>
          </w:rPr>
          <w:t xml:space="preserve">PubMed: 25643295</w:t>
        </w:r>
      </w:hyperlink>
      <w:r>
        <w:t xml:space="preserve">.</w:t>
      </w:r>
    </w:p>
    <w:p>
      <w:pPr>
        <w:pStyle w:val="BodyText"/>
      </w:pPr>
      <w:r>
        <w:t xml:space="preserve">* Equal contribution</w:t>
      </w:r>
    </w:p>
    <w:bookmarkEnd w:id="23"/>
    <w:bookmarkStart w:id="24" w:name="selected-conference-abstracts"/>
    <w:p>
      <w:pPr>
        <w:pStyle w:val="Heading2"/>
      </w:pPr>
      <w:r>
        <w:t xml:space="preserve">Selected Conference Abstracts</w:t>
      </w:r>
    </w:p>
    <w:p>
      <w:pPr>
        <w:pStyle w:val="FirstParagraph"/>
      </w:pPr>
      <w:r>
        <w:rPr>
          <w:b/>
          <w:bCs/>
        </w:rPr>
        <w:t xml:space="preserve">Cudmore RH</w:t>
      </w:r>
      <w:r>
        <w:t xml:space="preserve">, (2024) Open-source software for the analysis of laser scanning kymographs. Society For Neuroscience Abstract, Chicago. PSTR493.01.</w:t>
      </w:r>
    </w:p>
    <w:p>
      <w:pPr>
        <w:pStyle w:val="BodyText"/>
      </w:pPr>
      <w:r>
        <w:rPr>
          <w:b/>
          <w:bCs/>
        </w:rPr>
        <w:t xml:space="preserve">Cudmore RH</w:t>
      </w:r>
      <w:r>
        <w:t xml:space="preserve"> </w:t>
      </w:r>
      <w:r>
        <w:t xml:space="preserve">and Zawadzki RJ (2024) An image analysis toolbox for 3D vascular tracing and network topology. Proceedings Volume 12830, Optical Coherence Tomography and Coherence Domain Optical Methods in Biomedicine XXVIII; 128300B. San Francisco. https://doi.org/10.1117/12.3001224</w:t>
      </w:r>
    </w:p>
    <w:p>
      <w:pPr>
        <w:pStyle w:val="BodyText"/>
      </w:pPr>
      <w:r>
        <w:rPr>
          <w:b/>
          <w:bCs/>
        </w:rPr>
        <w:t xml:space="preserve">Cudmore RH</w:t>
      </w:r>
      <w:r>
        <w:t xml:space="preserve">, Guarina L, Le JT, Griffith TN, Santana LF (2023) Sanpy: an open-source whole-cell electrophysiology analysis pipeline. Society For Neuroscience Abstract. Washington. PSTR446.17.</w:t>
      </w:r>
    </w:p>
    <w:p>
      <w:pPr>
        <w:pStyle w:val="BodyText"/>
      </w:pPr>
      <w:r>
        <w:t xml:space="preserve">Abunijem S, Le JT,</w:t>
      </w:r>
      <w:r>
        <w:t xml:space="preserve"> </w:t>
      </w:r>
      <w:r>
        <w:rPr>
          <w:b/>
          <w:bCs/>
        </w:rPr>
        <w:t xml:space="preserve">Cudmore RH</w:t>
      </w:r>
      <w:r>
        <w:t xml:space="preserve"> </w:t>
      </w:r>
      <w:r>
        <w:t xml:space="preserve">(2023) Map Manager: Software to annotate and analyze image volume time-series. Basic Sciences Symposium Celebrating Hispanic Heritage Month, UC Davis.</w:t>
      </w:r>
    </w:p>
    <w:p>
      <w:pPr>
        <w:pStyle w:val="BodyText"/>
      </w:pPr>
      <w:r>
        <w:t xml:space="preserve">Manning D,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Trimmer J, Santana LS (2023) KV2.1 is critical for vascular smooth muscle relaxation and neurovascular blood flow. Basic Sciences Symposium Celebrating Hispanic Heritage Month, UC Davis.</w:t>
      </w:r>
    </w:p>
    <w:p>
      <w:pPr>
        <w:pStyle w:val="BodyText"/>
      </w:pPr>
      <w:r>
        <w:rPr>
          <w:b/>
          <w:bCs/>
        </w:rPr>
        <w:t xml:space="preserve">Cudmore RH</w:t>
      </w:r>
      <w:r>
        <w:t xml:space="preserve"> </w:t>
      </w:r>
      <w:r>
        <w:t xml:space="preserve">(2018) Map Manager: Software to annotate and analyze image volume time-series. Society For Neuroscience Abstract. 254.17.</w:t>
      </w:r>
    </w:p>
    <w:p>
      <w:pPr>
        <w:pStyle w:val="BodyText"/>
      </w:pPr>
      <w:r>
        <w:t xml:space="preserve">Roth RH,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Tan HL, Zhan Y, Huganir RL (2018) Cortex-wide synaptic AMPA receptor plasticity during motor learning. Society For Neuroscience Abstract. 288.02.</w:t>
      </w:r>
    </w:p>
    <w:p>
      <w:pPr>
        <w:pStyle w:val="BodyText"/>
      </w:pPr>
      <w:r>
        <w:t xml:space="preserve">Tan HL, Roth RH, Graves AR,</w:t>
      </w:r>
      <w:r>
        <w:t xml:space="preserve"> </w:t>
      </w:r>
      <w:r>
        <w:rPr>
          <w:b/>
          <w:bCs/>
        </w:rPr>
        <w:t xml:space="preserve">Cudmore RH</w:t>
      </w:r>
      <w:r>
        <w:t xml:space="preserve">, Huganir RL (2018) Distance-dependent AMPA receptor dynamics following visual deprivation in vivo. Society For Neuroscience Abstract. 288.06</w:t>
      </w:r>
    </w:p>
    <w:bookmarkEnd w:id="24"/>
    <w:sectPr w:rsidR="009B12A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7D92D7F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8367596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12AC"/>
    <w:rsid w:val="000C626A"/>
    <w:rsid w:val="008261AC"/>
    <w:rsid w:val="0088520D"/>
    <w:rsid w:val="009B12AC"/>
    <w:rsid w:val="00A36F56"/>
    <w:rsid w:val="00D25F03"/>
    <w:rsid w:val="00E03E89"/>
    <w:rsid w:val="00EC445F"/>
    <w:rsid w:val="00FF27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36F56"/>
    <w:pPr>
      <w:keepNext/>
      <w:keepLines/>
      <w:spacing w:after="80" w:before="360"/>
      <w:outlineLvl w:val="0"/>
    </w:pPr>
    <w:rPr>
      <w:rFonts w:ascii="Arial" w:cstheme="majorBidi" w:eastAsiaTheme="majorEastAsia" w:hAnsi="Arial"/>
      <w:b/>
      <w:szCs w:val="40"/>
      <w:u w:val="single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261AC"/>
    <w:pPr>
      <w:keepNext/>
      <w:keepLines/>
      <w:spacing w:after="80" w:before="120"/>
      <w:outlineLvl w:val="1"/>
    </w:pPr>
    <w:rPr>
      <w:rFonts w:ascii="Arial" w:cstheme="majorBidi" w:eastAsiaTheme="majorEastAsia" w:hAnsi="Arial"/>
      <w:b/>
      <w:sz w:val="22"/>
      <w:szCs w:val="32"/>
      <w:u w:val="singl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261AC"/>
    <w:pPr>
      <w:keepNext/>
      <w:keepLines/>
      <w:spacing w:after="80"/>
      <w:outlineLvl w:val="2"/>
    </w:pPr>
    <w:rPr>
      <w:rFonts w:ascii="Arial" w:cstheme="majorBidi" w:eastAsiaTheme="majorEastAsia" w:hAnsi="Arial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0C626A"/>
    <w:pPr>
      <w:spacing w:after="120"/>
      <w:ind w:hanging="360" w:left="360"/>
      <w:jc w:val="both"/>
    </w:pPr>
    <w:rPr>
      <w:rFonts w:ascii="Arial" w:hAnsi="Arial"/>
      <w:sz w:val="22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36F56"/>
    <w:rPr>
      <w:rFonts w:ascii="Arial" w:cstheme="majorBidi" w:eastAsiaTheme="majorEastAsia" w:hAnsi="Arial"/>
      <w:b/>
      <w:szCs w:val="40"/>
      <w:u w:val="single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261AC"/>
    <w:rPr>
      <w:rFonts w:ascii="Arial" w:cstheme="majorBidi" w:eastAsiaTheme="majorEastAsia" w:hAnsi="Arial"/>
      <w:b/>
      <w:sz w:val="22"/>
      <w:szCs w:val="32"/>
      <w:u w:val="single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261AC"/>
    <w:rPr>
      <w:rFonts w:ascii="Arial" w:cstheme="majorBidi" w:eastAsiaTheme="majorEastAsia" w:hAnsi="Arial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pubmed.ncbi.nlm.nih.gov/25643295/" TargetMode="External" /><Relationship Type="http://schemas.openxmlformats.org/officeDocument/2006/relationships/hyperlink" Id="rId21" Target="https://pubmed.ncbi.nlm.nih.gov/27499084/" TargetMode="External" /><Relationship Type="http://schemas.openxmlformats.org/officeDocument/2006/relationships/hyperlink" Id="rId20" Target="https://pubmed.ncbi.nlm.nih.gov/28059584/" TargetMode="External" /><Relationship Type="http://schemas.openxmlformats.org/officeDocument/2006/relationships/hyperlink" Id="rId19" Target="https://pubmed.ncbi.nlm.nih.gov/30992373/" TargetMode="External" /><Relationship Type="http://schemas.openxmlformats.org/officeDocument/2006/relationships/hyperlink" Id="rId17" Target="https://pubmed.ncbi.nlm.nih.gov/31901303/" TargetMode="External" /><Relationship Type="http://schemas.openxmlformats.org/officeDocument/2006/relationships/hyperlink" Id="rId18" Target="https://pubmed.ncbi.nlm.nih.gov/32125273/" TargetMode="External" /><Relationship Type="http://schemas.openxmlformats.org/officeDocument/2006/relationships/hyperlink" Id="rId16" Target="https://pubmed.ncbi.nlm.nih.gov/32155129/" TargetMode="External" /><Relationship Type="http://schemas.openxmlformats.org/officeDocument/2006/relationships/hyperlink" Id="rId15" Target="https://pubmed.ncbi.nlm.nih.gov/34250490/" TargetMode="External" /><Relationship Type="http://schemas.openxmlformats.org/officeDocument/2006/relationships/hyperlink" Id="rId12" Target="https://pubmed.ncbi.nlm.nih.gov/37503184/" TargetMode="External" /><Relationship Type="http://schemas.openxmlformats.org/officeDocument/2006/relationships/hyperlink" Id="rId14" Target="https://pubmed.ncbi.nlm.nih.gov/37583418/" TargetMode="External" /><Relationship Type="http://schemas.openxmlformats.org/officeDocument/2006/relationships/hyperlink" Id="rId11" Target="https://pubmed.ncbi.nlm.nih.gov/38419330/" TargetMode="External" /><Relationship Type="http://schemas.openxmlformats.org/officeDocument/2006/relationships/hyperlink" Id="rId13" Target="https://pubmed.ncbi.nlm.nih.gov/38507408/" TargetMode="External" /><Relationship Type="http://schemas.openxmlformats.org/officeDocument/2006/relationships/hyperlink" Id="rId10" Target="https://pubmed.ncbi.nlm.nih.gov/39689968/" TargetMode="External" /><Relationship Type="http://schemas.openxmlformats.org/officeDocument/2006/relationships/hyperlink" Id="rId9" Target="https://pubmed.ncbi.nlm.nih.gov/?term=cudmore+rh&amp;sort=d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pubmed.ncbi.nlm.nih.gov/25643295/" TargetMode="External" /><Relationship Type="http://schemas.openxmlformats.org/officeDocument/2006/relationships/hyperlink" Id="rId21" Target="https://pubmed.ncbi.nlm.nih.gov/27499084/" TargetMode="External" /><Relationship Type="http://schemas.openxmlformats.org/officeDocument/2006/relationships/hyperlink" Id="rId20" Target="https://pubmed.ncbi.nlm.nih.gov/28059584/" TargetMode="External" /><Relationship Type="http://schemas.openxmlformats.org/officeDocument/2006/relationships/hyperlink" Id="rId19" Target="https://pubmed.ncbi.nlm.nih.gov/30992373/" TargetMode="External" /><Relationship Type="http://schemas.openxmlformats.org/officeDocument/2006/relationships/hyperlink" Id="rId17" Target="https://pubmed.ncbi.nlm.nih.gov/31901303/" TargetMode="External" /><Relationship Type="http://schemas.openxmlformats.org/officeDocument/2006/relationships/hyperlink" Id="rId18" Target="https://pubmed.ncbi.nlm.nih.gov/32125273/" TargetMode="External" /><Relationship Type="http://schemas.openxmlformats.org/officeDocument/2006/relationships/hyperlink" Id="rId16" Target="https://pubmed.ncbi.nlm.nih.gov/32155129/" TargetMode="External" /><Relationship Type="http://schemas.openxmlformats.org/officeDocument/2006/relationships/hyperlink" Id="rId15" Target="https://pubmed.ncbi.nlm.nih.gov/34250490/" TargetMode="External" /><Relationship Type="http://schemas.openxmlformats.org/officeDocument/2006/relationships/hyperlink" Id="rId12" Target="https://pubmed.ncbi.nlm.nih.gov/37503184/" TargetMode="External" /><Relationship Type="http://schemas.openxmlformats.org/officeDocument/2006/relationships/hyperlink" Id="rId14" Target="https://pubmed.ncbi.nlm.nih.gov/37583418/" TargetMode="External" /><Relationship Type="http://schemas.openxmlformats.org/officeDocument/2006/relationships/hyperlink" Id="rId11" Target="https://pubmed.ncbi.nlm.nih.gov/38419330/" TargetMode="External" /><Relationship Type="http://schemas.openxmlformats.org/officeDocument/2006/relationships/hyperlink" Id="rId13" Target="https://pubmed.ncbi.nlm.nih.gov/38507408/" TargetMode="External" /><Relationship Type="http://schemas.openxmlformats.org/officeDocument/2006/relationships/hyperlink" Id="rId10" Target="https://pubmed.ncbi.nlm.nih.gov/39689968/" TargetMode="External" /><Relationship Type="http://schemas.openxmlformats.org/officeDocument/2006/relationships/hyperlink" Id="rId9" Target="https://pubmed.ncbi.nlm.nih.gov/?term=cudmore+rh&amp;sort=d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2026-07-29T20:00:59Z</dcterms:created>
  <dcterms:modified xsi:type="dcterms:W3CDTF">2026-07-29T20:00:59Z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