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Libre Barcode 128" w:hAnsi="Libre Barcode 128" w:cs="Libre Barcode 128"/>
          <w:sz w:val="72"/>
          <w:szCs w:val="72"/>
        </w:rPr>
      </w:pPr>
      <w:r>
        <w:rPr>
          <w:rFonts w:ascii="Libre Barcode 128" w:hAnsi="Libre Barcode 128" w:cs="Libre Barcode 128"/>
          <w:sz w:val="72"/>
          <w:szCs w:val="72"/>
        </w:rPr>
        <w:t>ABC-12345</w:t>
      </w:r>
    </w:p>
    <w:p>
      <w:pPr>
        <w:rPr>
          <w:rFonts w:ascii="Liberation Sans" w:hAnsi="Liberation Sans"/>
          <w:sz w:val="24"/>
        </w:rPr>
      </w:pPr>
      <w:r>
        <w:rPr>
          <w:rFonts w:ascii="Liberation Sans" w:hAnsi="Liberation Sans"/>
          <w:sz w:val="24"/>
        </w:rPr>
        <w:t>Standard text line for control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re Barcode 128">
    <w:panose1 w:val="00000000000000000000"/>
    <w:charset w:val="00"/>
    <w:family w:val="auto"/>
    <w:pitch w:val="variable"/>
  </w:font>
  <w:font w:name="Liberation Sans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</w: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ntTable" Target="fontTable.xml"/>
  <Relationship Id="rId2" Type="http://schemas.openxmlformats.org/officeDocument/2006/relationships/settings" Target="settings.xml"/>
</Relationships>
</file>