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0"/>
      </w:pPr>
    </w:p>
    <w:p>
      <w:pPr>
        <w:jc w:val="center"/>
        <w:spacing w:after="200"/>
      </w:pPr>
      <w:r>
        <w:rPr>
          <w:rFonts w:ascii="Arial" w:hAnsi="Arial" w:cs="Arial"/>
          <w:b/>
          <w:sz w:val="72"/>
          <w:szCs w:val="72"/>
          <w:color w:val="2C3E50"/>
        </w:rPr>
        <w:t xml:space="preserve">COMPREHENSIVE STRESS TEST</w:t>
      </w:r>
    </w:p>
    <w:p>
      <w:pPr>
        <w:jc w:val="center"/>
        <w:spacing w:after="400"/>
      </w:pPr>
      <w:r>
        <w:rPr>
          <w:rFonts w:ascii="Georgia" w:hAnsi="Georgia" w:cs="Georgia"/>
          <w:i/>
          <w:sz w:val="40"/>
          <w:szCs w:val="40"/>
          <w:color w:val="7F8C8D"/>
        </w:rPr>
        <w:t xml:space="preserve">Document Conversion Validation Report</w:t>
      </w:r>
    </w:p>
    <w:p>
      <w:pPr>
        <w:jc w:val="center"/>
        <w:spacing w:after="100"/>
      </w:pPr>
      <w:r>
        <w:rPr>
          <w:rFonts w:ascii="Calibri" w:hAnsi="Calibri" w:cs="Calibri"/>
          <w:sz w:val="24"/>
          <w:szCs w:val="24"/>
          <w:color w:val="95A5A6"/>
        </w:rPr>
        <w:t xml:space="preserve">Version 3.1 — February 2026</w:t>
      </w:r>
    </w:p>
    <w:p>
      <w:pPr>
        <w:jc w:val="center"/>
        <w:spacing w:after="200"/>
      </w:pPr>
      <w:r>
        <w:rPr>
          <w:rFonts w:ascii="Calibri" w:hAnsi="Calibri" w:cs="Calibri"/>
          <w:sz w:val="22"/>
          <w:szCs w:val="22"/>
          <w:color w:val="BDC3C7"/>
        </w:rPr>
        <w:t xml:space="preserve">Prepared by the SlimLO Quality Assurance Team</w:t>
      </w:r>
    </w:p>
    <w:p>
      <w:pPr>
        <w:jc w:val="center"/>
        <w:spacing w:after="100"/>
        <w:pBdr>
          <w:top w:val="single" w:sz="4" w:space="1" w:color="999999"/>
          <w:bottom w:val="single" w:sz="4" w:space="1" w:color="999999"/>
        </w:pBdr>
      </w:pPr>
      <w:r>
        <w:rPr>
          <w:rFonts w:ascii="Arial" w:hAnsi="Arial" w:cs="Arial"/>
          <w:b/>
          <w:smallCaps/>
          <w:sz w:val="28"/>
          <w:szCs w:val="28"/>
          <w:color w:val="E74C3C"/>
        </w:rPr>
        <w:t xml:space="preserve">CONFIDENTIAL</w:t>
      </w:r>
    </w:p>
    <w:p>
      <w:pPr>
        <w:pageBreakBefore/>
      </w:pPr>
    </w:p>
    <w:sdt>
      <w:sdtPr>
        <w:docPartObj>
          <w:docPartGallery w:val="Table of Contents"/>
          <w:docPartUnique/>
        </w:docPartObj>
      </w:sdtPr>
      <w:sdtContent>
        <w:p>
          <w:pPr>
            <w:spacing w:after="200"/>
          </w:pPr>
          <w:r>
            <w:rPr>
              <w:rFonts w:ascii="Arial" w:hAnsi="Arial" w:cs="Arial"/>
              <w:b/>
              <w:sz w:val="52"/>
              <w:szCs w:val="52"/>
              <w:color w:val="2C3E50"/>
            </w:rPr>
            <w:t xml:space="preserve">Table of Contents</w:t>
          </w:r>
        </w:p>
        <w:p>
          <w:pPr>
            <w:spacing w:after="100"/>
          </w:pPr>
          <w:r>
            <w:rPr>
              <w:b/>
            </w:rP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[Table of Contents — update to populate]</w:t>
          </w:r>
          <w:r>
            <w:fldChar w:fldCharType="end"/>
          </w:r>
        </w:p>
        <w:p>
          <w:pPr>
            <w:spacing w:after="400"/>
          </w:pPr>
        </w:p>
      </w:sdtContent>
    </w:sdt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1. Introduction</w:t>
      </w:r>
    </w:p>
    <w:p>
      <w:pPr>
        <w:spacing w:after="160"/>
      </w:pPr>
      <w:r>
        <w:rPr>
          <w:rFonts w:ascii="Georgia" w:hAnsi="Georgia" w:cs="Georgia"/>
          <w:sz w:val="24"/>
          <w:szCs w:val="24"/>
        </w:rPr>
        <w:t xml:space="preserve">This document serves as a comprehensive stress test for OOXML-to-PDF conversion engines.</w:t>
      </w:r>
      <w:r>
        <w:rPr>
          <w:rStyle w:val="FootnoteReference"/>
        </w:rPr>
        <w:footnoteReference w:id="2"/>
      </w:r>
    </w:p>
    <w:p>
      <w:pPr>
        <w:spacing w:after="160"/>
      </w:pPr>
      <w:r>
        <w:rPr>
          <w:rFonts w:ascii="Palatino Linotype" w:hAnsi="Palatino Linotype" w:cs="Palatino Linotype"/>
          <w:sz w:val="24"/>
          <w:szCs w:val="24"/>
        </w:rPr>
        <w:t xml:space="preserve">It exercises a wide range of DOCX features including embedded images, footnotes, tables of contents, and extensive font variation.</w:t>
      </w:r>
    </w:p>
    <w:p>
      <w:pPr>
        <w:spacing w:after="160"/>
      </w:pPr>
      <w:r>
        <w:rPr>
          <w:rFonts w:ascii="Cambria" w:hAnsi="Cambria" w:cs="Cambria"/>
          <w:sz w:val="24"/>
          <w:szCs w:val="24"/>
        </w:rPr>
        <w:t xml:space="preserve">Each line in this document intentionally uses a different typeface to verify that the conversion engine correctly handles font switching and fallback behavior.</w:t>
      </w:r>
      <w:r>
        <w:rPr>
          <w:rStyle w:val="FootnoteReference"/>
        </w:rPr>
        <w:footnoteReference w:id="3"/>
      </w:r>
    </w:p>
    <w:p>
      <w:pPr>
        <w:spacing w:after="160"/>
      </w:pPr>
      <w:r>
        <w:rPr>
          <w:rFonts w:ascii="Book Antiqua" w:hAnsi="Book Antiqua" w:cs="Book Antiqua"/>
          <w:sz w:val="24"/>
          <w:szCs w:val="24"/>
        </w:rPr>
        <w:t xml:space="preserve">The document spans multiple pages to test pagination, header/footer handling, and memory management under sustained load.</w:t>
      </w:r>
    </w:p>
    <w:p>
      <w:pPr>
        <w:spacing w:after="160"/>
      </w:pPr>
      <w:r>
        <w:rPr>
          <w:rFonts w:ascii="Garamond" w:hAnsi="Garamond" w:cs="Garamond"/>
          <w:sz w:val="24"/>
          <w:szCs w:val="24"/>
        </w:rPr>
        <w:t xml:space="preserve">All images are procedurally generated and embedded directly in the OOXML archive, ensuring the test is fully self-contained without external dependencies.</w:t>
      </w:r>
      <w:r>
        <w:rPr>
          <w:rStyle w:val="FootnoteReference"/>
        </w:rPr>
        <w:footnoteReference w:id="4"/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2. Embedded Images</w:t>
      </w:r>
    </w:p>
    <w:p>
      <w:pPr>
        <w:pStyle w:val="Heading2"/>
        <w:spacing w:after="12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2.1 Gradient Image</w:t>
      </w:r>
    </w:p>
    <w:p>
      <w:pPr>
        <w:spacing w:after="120"/>
      </w:pPr>
      <w:r>
        <w:rPr>
          <w:rFonts w:ascii="Verdana" w:hAnsi="Verdana" w:cs="Verdana"/>
          <w:sz w:val="22"/>
          <w:szCs w:val="22"/>
        </w:rPr>
        <w:t xml:space="preserve">The following image is a procedurally generated blue-to-orange gradient, embedded as a PNG:</w:t>
      </w:r>
    </w:p>
    <w:p>
      <w:pPr>
        <w:jc w:val="center"/>
        <w:spacing w:after="200"/>
      </w:pPr>
      <w:r>
        <w:drawing>
          <wp:inline distT="0" distB="0" distL="0" distR="0">
            <wp:extent cx="4800000" cy="1440000"/>
            <wp:docPr id="1" name="gradient" descr="Gradient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rFonts w:ascii="Calibri" w:hAnsi="Calibri" w:cs="Calibri"/>
          <w:i/>
          <w:sz w:val="18"/>
          <w:szCs w:val="18"/>
          <w:color w:val="7F8C8D"/>
        </w:rPr>
        <w:t xml:space="preserve">Figure 1: Horizontal gradient from blue to orange</w:t>
      </w:r>
    </w:p>
    <w:p>
      <w:pPr>
        <w:pStyle w:val="Heading2"/>
        <w:spacing w:after="12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2.2 Checkerboard Pattern</w:t>
      </w:r>
    </w:p>
    <w:p>
      <w:pPr>
        <w:spacing w:after="120"/>
      </w:pPr>
      <w:r>
        <w:rPr>
          <w:rFonts w:ascii="Tahoma" w:hAnsi="Tahoma" w:cs="Tahoma"/>
          <w:sz w:val="22"/>
          <w:szCs w:val="22"/>
        </w:rPr>
        <w:t xml:space="preserve">This checkerboard tests color accuracy and sharp edge rendering:</w:t>
      </w:r>
    </w:p>
    <w:p>
      <w:pPr>
        <w:jc w:val="center"/>
        <w:spacing w:after="200"/>
      </w:pPr>
      <w:r>
        <w:drawing>
          <wp:inline distT="0" distB="0" distL="0" distR="0">
            <wp:extent cx="4800000" cy="2400000"/>
            <wp:docPr id="1" name="checkerboard" descr="Checkerboard patter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rboar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rFonts w:ascii="Calibri" w:hAnsi="Calibri" w:cs="Calibri"/>
          <w:i/>
          <w:sz w:val="18"/>
          <w:szCs w:val="18"/>
          <w:color w:val="7F8C8D"/>
        </w:rPr>
        <w:t xml:space="preserve">Figure 2: Multi-colored checkerboard pattern with 25px squares</w:t>
      </w:r>
    </w:p>
    <w:p>
      <w:pPr>
        <w:pStyle w:val="Heading2"/>
        <w:spacing w:after="12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2.3 Bar Chart</w:t>
      </w:r>
    </w:p>
    <w:p>
      <w:pPr>
        <w:spacing w:after="120"/>
      </w:pPr>
      <w:r>
        <w:rPr>
          <w:rFonts w:ascii="Century Gothic" w:hAnsi="Century Gothic" w:cs="Century Gothic"/>
          <w:sz w:val="22"/>
          <w:szCs w:val="22"/>
        </w:rPr>
        <w:t xml:space="preserve">A simulated bar chart to test rendering of chart-like imagery:</w:t>
      </w:r>
    </w:p>
    <w:p>
      <w:pPr>
        <w:jc w:val="center"/>
        <w:spacing w:after="200"/>
      </w:pPr>
      <w:r>
        <w:drawing>
          <wp:inline distT="0" distB="0" distL="0" distR="0">
            <wp:extent cx="4800000" cy="2400000"/>
            <wp:docPr id="1" name="chart" descr="Bar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300"/>
      </w:pPr>
      <w:r>
        <w:rPr>
          <w:rFonts w:ascii="Calibri" w:hAnsi="Calibri" w:cs="Calibri"/>
          <w:i/>
          <w:sz w:val="18"/>
          <w:szCs w:val="18"/>
          <w:color w:val="7F8C8D"/>
        </w:rPr>
        <w:t xml:space="preserve">Figure 3: Simulated bar chart with varying heights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3. Font Showcase</w:t>
      </w:r>
    </w:p>
    <w:p>
      <w:pPr>
        <w:spacing w:after="200"/>
      </w:pPr>
      <w:r>
        <w:rPr>
          <w:rFonts w:ascii="Calibri" w:hAnsi="Calibri" w:cs="Calibri"/>
          <w:sz w:val="22"/>
          <w:szCs w:val="22"/>
          <w:color w:val="555555"/>
        </w:rPr>
        <w:t xml:space="preserve">Each line below uses a distinct typeface. This tests the engine's ability to load, render, and switch between fonts rapidly.</w:t>
      </w:r>
    </w:p>
    <w:p>
      <w:pPr>
        <w:spacing w:after="100"/>
      </w:pPr>
      <w:r>
        <w:rPr>
          <w:rFonts w:ascii="Arial" w:hAnsi="Arial" w:cs="Arial"/>
          <w:sz w:val="22"/>
          <w:szCs w:val="22"/>
          <w:color w:val="000000"/>
        </w:rPr>
        <w:t xml:space="preserve">[Arial] The quick brown fox jumps over the lazy dog — 0123456789 !@#$%</w:t>
      </w:r>
      <w:r>
        <w:rPr>
          <w:rStyle w:val="FootnoteReference"/>
        </w:rPr>
        <w:footnoteReference w:id="5"/>
      </w:r>
    </w:p>
    <w:p>
      <w:pPr>
        <w:spacing w:after="100"/>
      </w:pPr>
      <w:r>
        <w:rPr>
          <w:rFonts w:ascii="Times New Roman" w:hAnsi="Times New Roman" w:cs="Times New Roman"/>
          <w:sz w:val="22"/>
          <w:szCs w:val="22"/>
          <w:color w:val="C0392B"/>
        </w:rPr>
        <w:t xml:space="preserve">[Times New Roman] The quick brown fox jumps over the lazy dog — 0123456789 !@#$%</w:t>
      </w:r>
    </w:p>
    <w:p>
      <w:pPr>
        <w:spacing w:after="100"/>
      </w:pPr>
      <w:r>
        <w:rPr>
          <w:rFonts w:ascii="Courier New" w:hAnsi="Courier New" w:cs="Courier New"/>
          <w:sz w:val="22"/>
          <w:szCs w:val="22"/>
          <w:color w:val="2980B9"/>
        </w:rPr>
        <w:t xml:space="preserve">[Courier New] The quick brown fox jumps over the lazy dog — 0123456789 !@#$%</w:t>
      </w:r>
    </w:p>
    <w:p>
      <w:pPr>
        <w:spacing w:after="100"/>
      </w:pPr>
      <w:r>
        <w:rPr>
          <w:rFonts w:ascii="Georgia" w:hAnsi="Georgia" w:cs="Georgia"/>
          <w:sz w:val="22"/>
          <w:szCs w:val="22"/>
          <w:color w:val="27AE60"/>
        </w:rPr>
        <w:t xml:space="preserve">[Georgia] The quick brown fox jumps over the lazy dog — 0123456789 !@#$%</w:t>
      </w:r>
    </w:p>
    <w:p>
      <w:pPr>
        <w:spacing w:after="100"/>
      </w:pPr>
      <w:r>
        <w:rPr>
          <w:rFonts w:ascii="Verdana" w:hAnsi="Verdana" w:cs="Verdana"/>
          <w:sz w:val="22"/>
          <w:szCs w:val="22"/>
          <w:color w:val="8E44AD"/>
        </w:rPr>
        <w:t xml:space="preserve">[Verdana] The quick brown fox jumps over the lazy dog — 0123456789 !@#$%</w:t>
      </w:r>
    </w:p>
    <w:p>
      <w:pPr>
        <w:spacing w:after="100"/>
      </w:pPr>
      <w:r>
        <w:rPr>
          <w:rFonts w:ascii="Trebuchet MS" w:hAnsi="Trebuchet MS" w:cs="Trebuchet MS"/>
          <w:sz w:val="22"/>
          <w:szCs w:val="22"/>
          <w:color w:val="D35400"/>
        </w:rPr>
        <w:t xml:space="preserve">[Trebuchet MS] The quick brown fox jumps over the lazy dog — 0123456789 !@#$%</w:t>
      </w:r>
      <w:r>
        <w:rPr>
          <w:rStyle w:val="FootnoteReference"/>
        </w:rPr>
        <w:footnoteReference w:id="6"/>
      </w:r>
    </w:p>
    <w:p>
      <w:pPr>
        <w:spacing w:after="100"/>
      </w:pPr>
      <w:r>
        <w:rPr>
          <w:rFonts w:ascii="Palatino Linotype" w:hAnsi="Palatino Linotype" w:cs="Palatino Linotype"/>
          <w:sz w:val="22"/>
          <w:szCs w:val="22"/>
          <w:color w:val="2C3E50"/>
        </w:rPr>
        <w:t xml:space="preserve">[Palatino Linotype] The quick brown fox jumps over the lazy dog — 0123456789 !@#$%</w:t>
      </w:r>
    </w:p>
    <w:p>
      <w:pPr>
        <w:spacing w:after="100"/>
      </w:pPr>
      <w:r>
        <w:rPr>
          <w:rFonts w:ascii="Book Antiqua" w:hAnsi="Book Antiqua" w:cs="Book Antiqua"/>
          <w:sz w:val="22"/>
          <w:szCs w:val="22"/>
          <w:color w:val="16A085"/>
        </w:rPr>
        <w:t xml:space="preserve">[Book Antiqua] The quick brown fox jumps over the lazy dog — 0123456789 !@#$%</w:t>
      </w:r>
    </w:p>
    <w:p>
      <w:pPr>
        <w:spacing w:after="100"/>
      </w:pPr>
      <w:r>
        <w:rPr>
          <w:rFonts w:ascii="Garamond" w:hAnsi="Garamond" w:cs="Garamond"/>
          <w:sz w:val="22"/>
          <w:szCs w:val="22"/>
          <w:color w:val="000000"/>
        </w:rPr>
        <w:t xml:space="preserve">[Garamond] The quick brown fox jumps over the lazy dog — 0123456789 !@#$%</w:t>
      </w:r>
    </w:p>
    <w:p>
      <w:pPr>
        <w:spacing w:after="100"/>
      </w:pPr>
      <w:r>
        <w:rPr>
          <w:rFonts w:ascii="Cambria" w:hAnsi="Cambria" w:cs="Cambria"/>
          <w:sz w:val="22"/>
          <w:szCs w:val="22"/>
          <w:color w:val="C0392B"/>
        </w:rPr>
        <w:t xml:space="preserve">[Cambria] The quick brown fox jumps over the lazy dog — 0123456789 !@#$%</w:t>
      </w:r>
    </w:p>
    <w:p>
      <w:pPr>
        <w:spacing w:after="100"/>
      </w:pPr>
      <w:r>
        <w:rPr>
          <w:rFonts w:ascii="Calibri" w:hAnsi="Calibri" w:cs="Calibri"/>
          <w:sz w:val="22"/>
          <w:szCs w:val="22"/>
          <w:color w:val="2980B9"/>
        </w:rPr>
        <w:t xml:space="preserve">[Calibri] The quick brown fox jumps over the lazy dog — 0123456789 !@#$%</w:t>
      </w:r>
      <w:r>
        <w:rPr>
          <w:rStyle w:val="FootnoteReference"/>
        </w:rPr>
        <w:footnoteReference w:id="7"/>
      </w:r>
    </w:p>
    <w:p>
      <w:pPr>
        <w:spacing w:after="100"/>
      </w:pPr>
      <w:r>
        <w:rPr>
          <w:rFonts w:ascii="Consolas" w:hAnsi="Consolas" w:cs="Consolas"/>
          <w:sz w:val="22"/>
          <w:szCs w:val="22"/>
          <w:color w:val="27AE60"/>
        </w:rPr>
        <w:t xml:space="preserve">[Consolas] The quick brown fox jumps over the lazy dog — 0123456789 !@#$%</w:t>
      </w:r>
    </w:p>
    <w:p>
      <w:pPr>
        <w:spacing w:after="100"/>
      </w:pPr>
      <w:r>
        <w:rPr>
          <w:rFonts w:ascii="Lucida Console" w:hAnsi="Lucida Console" w:cs="Lucida Console"/>
          <w:sz w:val="22"/>
          <w:szCs w:val="22"/>
          <w:color w:val="8E44AD"/>
        </w:rPr>
        <w:t xml:space="preserve">[Lucida Console] The quick brown fox jumps over the lazy dog — 0123456789 !@#$%</w:t>
      </w:r>
    </w:p>
    <w:p>
      <w:pPr>
        <w:spacing w:after="100"/>
      </w:pPr>
      <w:r>
        <w:rPr>
          <w:rFonts w:ascii="Tahoma" w:hAnsi="Tahoma" w:cs="Tahoma"/>
          <w:sz w:val="22"/>
          <w:szCs w:val="22"/>
          <w:color w:val="D35400"/>
        </w:rPr>
        <w:t xml:space="preserve">[Tahoma] The quick brown fox jumps over the lazy dog — 0123456789 !@#$%</w:t>
      </w:r>
    </w:p>
    <w:p>
      <w:pPr>
        <w:spacing w:after="100"/>
      </w:pPr>
      <w:r>
        <w:rPr>
          <w:rFonts w:ascii="Century Gothic" w:hAnsi="Century Gothic" w:cs="Century Gothic"/>
          <w:sz w:val="22"/>
          <w:szCs w:val="22"/>
          <w:color w:val="2C3E50"/>
        </w:rPr>
        <w:t xml:space="preserve">[Century Gothic] The quick brown fox jumps over the lazy dog — 0123456789 !@#$%</w:t>
      </w:r>
    </w:p>
    <w:p>
      <w:pPr>
        <w:spacing w:after="100"/>
      </w:pPr>
      <w:r>
        <w:rPr>
          <w:rFonts w:ascii="Franklin Gothic Medium" w:hAnsi="Franklin Gothic Medium" w:cs="Franklin Gothic Medium"/>
          <w:sz w:val="22"/>
          <w:szCs w:val="22"/>
          <w:color w:val="16A085"/>
        </w:rPr>
        <w:t xml:space="preserve">[Franklin Gothic Medium] The quick brown fox jumps over the lazy dog — 0123456789 !@#$%</w:t>
      </w:r>
      <w:r>
        <w:rPr>
          <w:rStyle w:val="FootnoteReference"/>
        </w:rPr>
        <w:footnoteReference w:id="8"/>
      </w:r>
    </w:p>
    <w:p>
      <w:pPr>
        <w:spacing w:after="100"/>
      </w:pPr>
      <w:r>
        <w:rPr>
          <w:rFonts w:ascii="Segoe UI" w:hAnsi="Segoe UI" w:cs="Segoe UI"/>
          <w:sz w:val="22"/>
          <w:szCs w:val="22"/>
          <w:color w:val="000000"/>
        </w:rPr>
        <w:t xml:space="preserve">[Segoe UI] The quick brown fox jumps over the lazy dog — 0123456789 !@#$%</w:t>
      </w:r>
    </w:p>
    <w:p>
      <w:pPr>
        <w:spacing w:after="100"/>
      </w:pPr>
      <w:r>
        <w:rPr>
          <w:rFonts w:ascii="Impact" w:hAnsi="Impact" w:cs="Impact"/>
          <w:sz w:val="22"/>
          <w:szCs w:val="22"/>
          <w:color w:val="C0392B"/>
        </w:rPr>
        <w:t xml:space="preserve">[Impact] The quick brown fox jumps over the lazy dog — 0123456789 !@#$%</w:t>
      </w:r>
    </w:p>
    <w:p>
      <w:pPr>
        <w:spacing w:after="100"/>
      </w:pPr>
      <w:r>
        <w:rPr>
          <w:rFonts w:ascii="Arial Narrow" w:hAnsi="Arial Narrow" w:cs="Arial Narrow"/>
          <w:sz w:val="22"/>
          <w:szCs w:val="22"/>
          <w:color w:val="2980B9"/>
        </w:rPr>
        <w:t xml:space="preserve">[Arial Narrow] The quick brown fox jumps over the lazy dog — 0123456789 !@#$%</w:t>
      </w:r>
    </w:p>
    <w:p>
      <w:pPr>
        <w:spacing w:after="100"/>
      </w:pPr>
      <w:r>
        <w:rPr>
          <w:rFonts w:ascii="Candara" w:hAnsi="Candara" w:cs="Candara"/>
          <w:sz w:val="22"/>
          <w:szCs w:val="22"/>
          <w:color w:val="27AE60"/>
        </w:rPr>
        <w:t xml:space="preserve">[Candara] The quick brown fox jumps over the lazy dog — 0123456789 !@#$%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4. Data Tables</w:t>
      </w:r>
    </w:p>
    <w:p>
      <w:pPr>
        <w:pStyle w:val="Heading2"/>
        <w:spacing w:after="16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4.1 Build Performance Matrix</w:t>
      </w:r>
    </w:p>
    <w:tbl>
      <w:tblPr>
        <w:tblStyle w:val="TableGrid"/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800"/>
        <w:gridCol w:w="1500"/>
        <w:gridCol w:w="1200"/>
        <w:gridCol w:w="1500"/>
        <w:gridCol w:w="1000"/>
        <w:gridCol w:w="1000"/>
      </w:tblGrid>
      <w:tr>
        <w:tc>
          <w:tcPr>
            <w:tcW w:w="18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Platform</w:t>
            </w:r>
          </w:p>
        </w:tc>
        <w:tc>
          <w:tcPr>
            <w:tcW w:w="15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Architecture</w:t>
            </w:r>
          </w:p>
        </w:tc>
        <w:tc>
          <w:tcPr>
            <w:tcW w:w="12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Build Time</w:t>
            </w:r>
          </w:p>
        </w:tc>
        <w:tc>
          <w:tcPr>
            <w:tcW w:w="15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Artifact Size</w:t>
            </w:r>
          </w:p>
        </w:tc>
        <w:tc>
          <w:tcPr>
            <w:tcW w:w="10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Libs</w:t>
            </w:r>
          </w:p>
        </w:tc>
        <w:tc>
          <w:tcPr>
            <w:tcW w:w="10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Status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Linux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x64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48 min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186 MB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134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PASS</w:t>
            </w:r>
          </w:p>
        </w:tc>
      </w:tr>
      <w:tr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Linux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arm64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3.2 hrs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182 MB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134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PASS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macOS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arm64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2.1 hrs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108 MB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140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PASS</w:t>
            </w:r>
          </w:p>
        </w:tc>
      </w:tr>
      <w:tr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macOS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x64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2.8 hrs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146 MB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140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PASS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Windows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x64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6+ hrs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~200 MB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TBD</w:t>
            </w:r>
          </w:p>
        </w:tc>
        <w:tc>
          <w:tcPr>
            <w:tcW w:w="10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WIP</w:t>
            </w:r>
          </w:p>
        </w:tc>
      </w:tr>
      <w:tr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Windows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arm64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TBD</w:t>
            </w:r>
          </w:p>
        </w:tc>
        <w:tc>
          <w:tcPr>
            <w:tcW w:w="15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TBD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TBD</w:t>
            </w:r>
          </w:p>
        </w:tc>
        <w:tc>
          <w:tcPr>
            <w:tcW w:w="10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PLANNED</w:t>
            </w:r>
          </w:p>
        </w:tc>
      </w:tr>
    </w:tbl>
    <w:p>
      <w:pPr>
        <w:spacing w:after="300"/>
      </w:pPr>
    </w:p>
    <w:p>
      <w:pPr>
        <w:pStyle w:val="Heading2"/>
        <w:spacing w:after="16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4.2 Font Coverage Test Results</w:t>
      </w:r>
    </w:p>
    <w:tbl>
      <w:tblPr>
        <w:tblStyle w:val="TableGrid"/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200"/>
        <w:gridCol w:w="1200"/>
        <w:gridCol w:w="1800"/>
        <w:gridCol w:w="1200"/>
        <w:gridCol w:w="1600"/>
      </w:tblGrid>
      <w:tr>
        <w:tc>
          <w:tcPr>
            <w:tcW w:w="22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Font Family</w:t>
            </w:r>
          </w:p>
        </w:tc>
        <w:tc>
          <w:tcPr>
            <w:tcW w:w="12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Available</w:t>
            </w:r>
          </w:p>
        </w:tc>
        <w:tc>
          <w:tcPr>
            <w:tcW w:w="18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Fallback</w:t>
            </w:r>
          </w:p>
        </w:tc>
        <w:tc>
          <w:tcPr>
            <w:tcW w:w="12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Warnings</w:t>
            </w:r>
          </w:p>
        </w:tc>
        <w:tc>
          <w:tcPr>
            <w:tcW w:w="1600" w:type="dxa"/>
            <w:shd w:val="clear" w:color="auto" w:fill="2C3E50"/>
          </w:tcPr>
          <w:p>
            <w:pPr>
              <w:spacing w:after="40"/>
            </w:pPr>
            <w:r>
              <w:rPr>
                <w:rFonts w:ascii="Arial" w:hAnsi="Arial" w:cs="Arial"/>
                <w:b/>
                <w:sz w:val="20"/>
                <w:szCs w:val="20"/>
                <w:color w:val="FFFFFF"/>
              </w:rPr>
              <w:t xml:space="preserve">Rendering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Arial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Perfect</w:t>
            </w:r>
          </w:p>
        </w:tc>
      </w:tr>
      <w:tr>
        <w:tc>
          <w:tcPr>
            <w:tcW w:w="2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Times New Roman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—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W w:w="16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Perfect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Courier New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Perfect</w:t>
            </w:r>
          </w:p>
        </w:tc>
      </w:tr>
      <w:tr>
        <w:tc>
          <w:tcPr>
            <w:tcW w:w="2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Georgia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—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W w:w="16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Perfect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Verdana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Perfect</w:t>
            </w:r>
          </w:p>
        </w:tc>
      </w:tr>
      <w:tr>
        <w:tc>
          <w:tcPr>
            <w:tcW w:w="2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Comic Sans MS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Partial</w:t>
            </w:r>
          </w:p>
        </w:tc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Arial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W w:w="16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Acceptable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Impact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Partial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Arial Black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Acceptable</w:t>
            </w:r>
          </w:p>
        </w:tc>
      </w:tr>
      <w:tr>
        <w:tc>
          <w:tcPr>
            <w:tcW w:w="2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SuperRareFont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No</w:t>
            </w:r>
          </w:p>
        </w:tc>
        <w:tc>
          <w:tcPr>
            <w:tcW w:w="18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Liberation Sans</w:t>
            </w:r>
          </w:p>
        </w:tc>
        <w:tc>
          <w:tcPr>
            <w:tcW w:w="12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W w:w="1600" w:type="dxa"/>
            <w:shd w:val="clear" w:color="auto" w:fill="ECF0F1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Degraded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MyBrandFont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No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DejaVu Sans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Calibri" w:hAnsi="Calibri" w:cs="Calibri"/>
                <w:sz w:val="18"/>
                <w:szCs w:val="18"/>
                <w:color w:val="333333"/>
              </w:rPr>
              <w:t xml:space="preserve">Degraded</w:t>
            </w:r>
          </w:p>
        </w:tc>
      </w:tr>
    </w:tbl>
    <w:p>
      <w:pPr>
        <w:spacing w:after="300"/>
      </w:pP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5. Mixed Formatting Stress Test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[Arial, 14pt, bold] </w:t>
      </w:r>
      <w:r>
        <w:rPr>
          <w:rFonts w:ascii="Arial" w:hAnsi="Arial" w:cs="Arial"/>
          <w:b/>
          <w:sz w:val="28"/>
          <w:szCs w:val="28"/>
          <w:color w:val="C0392B"/>
        </w:rPr>
        <w:t xml:space="preserve">Lorem ipsum dolor sit amet, consectetur adipiscing elit. Sed do eiusmod tempor incididunt ut labore et dolore magna aliqua.</w:t>
      </w:r>
      <w:r>
        <w:rPr>
          <w:rStyle w:val="FootnoteReference"/>
        </w:rPr>
        <w:footnoteReference w:id="9"/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[Georgia, 11pt, italic] </w:t>
      </w:r>
      <w:r>
        <w:rPr>
          <w:rFonts w:ascii="Georgia" w:hAnsi="Georgia" w:cs="Georgia"/>
          <w:i/>
          <w:sz w:val="22"/>
          <w:szCs w:val="22"/>
          <w:color w:val="2980B9"/>
        </w:rPr>
        <w:t xml:space="preserve">Ut enim ad minim veniam, quis nostrud exercitation ullamco laboris nisi ut aliquip ex ea commodo consequat.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[Courier New, 10pt, underline] </w:t>
      </w:r>
      <w:r>
        <w:rPr>
          <w:rFonts w:ascii="Courier New" w:hAnsi="Courier New" w:cs="Courier New"/>
          <w:u w:val="single"/>
          <w:sz w:val="20"/>
          <w:szCs w:val="20"/>
          <w:color w:val="27AE60"/>
        </w:rPr>
        <w:t xml:space="preserve">Duis aute irure dolor in reprehenderit in voluptate velit esse cillum dolore eu fugiat nulla pariatur.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[Verdana, 13pt, bold, italic] </w:t>
      </w:r>
      <w:r>
        <w:rPr>
          <w:rFonts w:ascii="Verdana" w:hAnsi="Verdana" w:cs="Verdana"/>
          <w:b/>
          <w:i/>
          <w:sz w:val="26"/>
          <w:szCs w:val="26"/>
          <w:color w:val="8E44AD"/>
        </w:rPr>
        <w:t xml:space="preserve">Excepteur sint occaecat cupidatat non proident, sunt in culpa qui officia deserunt mollit anim id est laborum.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[Trebuchet MS, 12pt, strike] </w:t>
      </w:r>
      <w:r>
        <w:rPr>
          <w:rFonts w:ascii="Trebuchet MS" w:hAnsi="Trebuchet MS" w:cs="Trebuchet MS"/>
          <w:strike/>
          <w:sz w:val="24"/>
          <w:szCs w:val="24"/>
          <w:color w:val="D35400"/>
        </w:rPr>
        <w:t xml:space="preserve">Curabitur pretium tincidunt lacus. Nulla gravida orci a odio. Nullam varius, turpis et commodo pharetra.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[Calibri, 11pt, smallcaps] </w:t>
      </w:r>
      <w:r>
        <w:rPr>
          <w:rFonts w:ascii="Calibri" w:hAnsi="Calibri" w:cs="Calibri"/>
          <w:smallCaps/>
          <w:sz w:val="22"/>
          <w:szCs w:val="22"/>
          <w:color w:val="2C3E50"/>
        </w:rPr>
        <w:t xml:space="preserve">Integer in mauris eu nibh euismod gravida. Duis ac tellus et risus vulputate vehicula.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[Palatino Linotype, 15pt, bold, underline] </w:t>
      </w:r>
      <w:r>
        <w:rPr>
          <w:rFonts w:ascii="Palatino Linotype" w:hAnsi="Palatino Linotype" w:cs="Palatino Linotype"/>
          <w:b/>
          <w:u w:val="single"/>
          <w:sz w:val="30"/>
          <w:szCs w:val="30"/>
          <w:color w:val="16A085"/>
        </w:rPr>
        <w:t xml:space="preserve">Pellentesque habitant morbi tristique senectus et netus et malesuada fames ac turpis egestas.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[Cambria, 10pt, italic, underline] </w:t>
      </w:r>
      <w:r>
        <w:rPr>
          <w:rFonts w:ascii="Cambria" w:hAnsi="Cambria" w:cs="Cambria"/>
          <w:i/>
          <w:u w:val="single"/>
          <w:sz w:val="20"/>
          <w:szCs w:val="20"/>
          <w:color w:val="E74C3C"/>
        </w:rPr>
        <w:t xml:space="preserve">Praesent dapibus, neque id cursus faucibus, tortor neque egestas augue, eu vulputate magna eros eu erat.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[Arial, 14pt, bold] </w:t>
      </w:r>
      <w:r>
        <w:rPr>
          <w:rFonts w:ascii="Arial" w:hAnsi="Arial" w:cs="Arial"/>
          <w:b/>
          <w:sz w:val="28"/>
          <w:szCs w:val="28"/>
          <w:color w:val="C0392B"/>
        </w:rPr>
        <w:t xml:space="preserve">Lorem ipsum dolor sit amet, consectetur adipiscing elit. Sed do eiusmod tempor incididunt ut labore et dolore magna aliqua.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[Georgia, 11pt, italic] </w:t>
      </w:r>
      <w:r>
        <w:rPr>
          <w:rFonts w:ascii="Georgia" w:hAnsi="Georgia" w:cs="Georgia"/>
          <w:i/>
          <w:sz w:val="22"/>
          <w:szCs w:val="22"/>
          <w:color w:val="2980B9"/>
        </w:rPr>
        <w:t xml:space="preserve">Ut enim ad minim veniam, quis nostrud exercitation ullamco laboris nisi ut aliquip ex ea commodo consequat.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[Courier New, 10pt, underline] </w:t>
      </w:r>
      <w:r>
        <w:rPr>
          <w:rFonts w:ascii="Courier New" w:hAnsi="Courier New" w:cs="Courier New"/>
          <w:u w:val="single"/>
          <w:sz w:val="20"/>
          <w:szCs w:val="20"/>
          <w:color w:val="27AE60"/>
        </w:rPr>
        <w:t xml:space="preserve">Duis aute irure dolor in reprehenderit in voluptate velit esse cillum dolore eu fugiat nulla pariatur.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[Verdana, 13pt, bold, italic] </w:t>
      </w:r>
      <w:r>
        <w:rPr>
          <w:rFonts w:ascii="Verdana" w:hAnsi="Verdana" w:cs="Verdana"/>
          <w:b/>
          <w:i/>
          <w:sz w:val="26"/>
          <w:szCs w:val="26"/>
          <w:color w:val="8E44AD"/>
        </w:rPr>
        <w:t xml:space="preserve">Excepteur sint occaecat cupidatat non proident, sunt in culpa qui officia deserunt mollit anim id est laborum.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[Trebuchet MS, 12pt, strike] </w:t>
      </w:r>
      <w:r>
        <w:rPr>
          <w:rFonts w:ascii="Trebuchet MS" w:hAnsi="Trebuchet MS" w:cs="Trebuchet MS"/>
          <w:strike/>
          <w:sz w:val="24"/>
          <w:szCs w:val="24"/>
          <w:color w:val="D35400"/>
        </w:rPr>
        <w:t xml:space="preserve">Curabitur pretium tincidunt lacus. Nulla gravida orci a odio. Nullam varius, turpis et commodo pharetra.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[Calibri, 11pt, smallcaps] </w:t>
      </w:r>
      <w:r>
        <w:rPr>
          <w:rFonts w:ascii="Calibri" w:hAnsi="Calibri" w:cs="Calibri"/>
          <w:smallCaps/>
          <w:sz w:val="22"/>
          <w:szCs w:val="22"/>
          <w:color w:val="2C3E50"/>
        </w:rPr>
        <w:t xml:space="preserve">Integer in mauris eu nibh euismod gravida. Duis ac tellus et risus vulputate vehicula.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[Palatino Linotype, 15pt, bold, underline] </w:t>
      </w:r>
      <w:r>
        <w:rPr>
          <w:rFonts w:ascii="Palatino Linotype" w:hAnsi="Palatino Linotype" w:cs="Palatino Linotype"/>
          <w:b/>
          <w:u w:val="single"/>
          <w:sz w:val="30"/>
          <w:szCs w:val="30"/>
          <w:color w:val="16A085"/>
        </w:rPr>
        <w:t xml:space="preserve">Pellentesque habitant morbi tristique senectus et netus et malesuada fames ac turpis egestas.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[Cambria, 10pt, italic, underline] </w:t>
      </w:r>
      <w:r>
        <w:rPr>
          <w:rFonts w:ascii="Cambria" w:hAnsi="Cambria" w:cs="Cambria"/>
          <w:i/>
          <w:u w:val="single"/>
          <w:sz w:val="20"/>
          <w:szCs w:val="20"/>
          <w:color w:val="E74C3C"/>
        </w:rPr>
        <w:t xml:space="preserve">Praesent dapibus, neque id cursus faucibus, tortor neque egestas augue, eu vulputate magna eros eu erat.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[Arial, 14pt, bold] </w:t>
      </w:r>
      <w:r>
        <w:rPr>
          <w:rFonts w:ascii="Arial" w:hAnsi="Arial" w:cs="Arial"/>
          <w:b/>
          <w:sz w:val="28"/>
          <w:szCs w:val="28"/>
          <w:color w:val="C0392B"/>
        </w:rPr>
        <w:t xml:space="preserve">Lorem ipsum dolor sit amet, consectetur adipiscing elit. Sed do eiusmod tempor incididunt ut labore et dolore magna aliqua.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[Georgia, 11pt, italic] </w:t>
      </w:r>
      <w:r>
        <w:rPr>
          <w:rFonts w:ascii="Georgia" w:hAnsi="Georgia" w:cs="Georgia"/>
          <w:i/>
          <w:sz w:val="22"/>
          <w:szCs w:val="22"/>
          <w:color w:val="2980B9"/>
        </w:rPr>
        <w:t xml:space="preserve">Ut enim ad minim veniam, quis nostrud exercitation ullamco laboris nisi ut aliquip ex ea commodo consequat.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[Courier New, 10pt, underline] </w:t>
      </w:r>
      <w:r>
        <w:rPr>
          <w:rFonts w:ascii="Courier New" w:hAnsi="Courier New" w:cs="Courier New"/>
          <w:u w:val="single"/>
          <w:sz w:val="20"/>
          <w:szCs w:val="20"/>
          <w:color w:val="27AE60"/>
        </w:rPr>
        <w:t xml:space="preserve">Duis aute irure dolor in reprehenderit in voluptate velit esse cillum dolore eu fugiat nulla pariatur.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[Verdana, 13pt, bold, italic] </w:t>
      </w:r>
      <w:r>
        <w:rPr>
          <w:rFonts w:ascii="Verdana" w:hAnsi="Verdana" w:cs="Verdana"/>
          <w:b/>
          <w:i/>
          <w:sz w:val="26"/>
          <w:szCs w:val="26"/>
          <w:color w:val="8E44AD"/>
        </w:rPr>
        <w:t xml:space="preserve">Excepteur sint occaecat cupidatat non proident, sunt in culpa qui officia deserunt mollit anim id est laborum.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[Trebuchet MS, 12pt, strike] </w:t>
      </w:r>
      <w:r>
        <w:rPr>
          <w:rFonts w:ascii="Trebuchet MS" w:hAnsi="Trebuchet MS" w:cs="Trebuchet MS"/>
          <w:strike/>
          <w:sz w:val="24"/>
          <w:szCs w:val="24"/>
          <w:color w:val="D35400"/>
        </w:rPr>
        <w:t xml:space="preserve">Curabitur pretium tincidunt lacus. Nulla gravida orci a odio. Nullam varius, turpis et commodo pharetra.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[Calibri, 11pt, smallcaps] </w:t>
      </w:r>
      <w:r>
        <w:rPr>
          <w:rFonts w:ascii="Calibri" w:hAnsi="Calibri" w:cs="Calibri"/>
          <w:smallCaps/>
          <w:sz w:val="22"/>
          <w:szCs w:val="22"/>
          <w:color w:val="2C3E50"/>
        </w:rPr>
        <w:t xml:space="preserve">Integer in mauris eu nibh euismod gravida. Duis ac tellus et risus vulputate vehicula.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[Palatino Linotype, 15pt, bold, underline] </w:t>
      </w:r>
      <w:r>
        <w:rPr>
          <w:rFonts w:ascii="Palatino Linotype" w:hAnsi="Palatino Linotype" w:cs="Palatino Linotype"/>
          <w:b/>
          <w:u w:val="single"/>
          <w:sz w:val="30"/>
          <w:szCs w:val="30"/>
          <w:color w:val="16A085"/>
        </w:rPr>
        <w:t xml:space="preserve">Pellentesque habitant morbi tristique senectus et netus et malesuada fames ac turpis egestas.</w:t>
      </w:r>
    </w:p>
    <w:p>
      <w:pPr>
        <w:spacing w:after="120"/>
      </w:pPr>
      <w:r>
        <w:rPr>
          <w:rFonts w:ascii="Consolas" w:hAnsi="Consolas" w:cs="Consolas"/>
          <w:sz w:val="16"/>
          <w:szCs w:val="16"/>
          <w:color w:val="999999"/>
        </w:rPr>
        <w:t xml:space="preserve">[Cambria, 10pt, italic, underline] </w:t>
      </w:r>
      <w:r>
        <w:rPr>
          <w:rFonts w:ascii="Cambria" w:hAnsi="Cambria" w:cs="Cambria"/>
          <w:i/>
          <w:u w:val="single"/>
          <w:sz w:val="20"/>
          <w:szCs w:val="20"/>
          <w:color w:val="E74C3C"/>
        </w:rPr>
        <w:t xml:space="preserve">Praesent dapibus, neque id cursus faucibus, tortor neque egestas augue, eu vulputate magna eros eu erat.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6. Unicode &amp; International Text</w:t>
      </w:r>
    </w:p>
    <w:p>
      <w:pPr>
        <w:spacing w:after="40"/>
      </w:pPr>
      <w:r>
        <w:rPr>
          <w:rFonts w:ascii="Arial" w:hAnsi="Arial" w:cs="Arial"/>
          <w:b/>
          <w:sz w:val="22"/>
          <w:szCs w:val="22"/>
          <w:color w:val="2C3E50"/>
        </w:rPr>
        <w:t xml:space="preserve">English — Arial</w:t>
      </w:r>
    </w:p>
    <w:p>
      <w:pPr>
        <w:spacing w:after="200"/>
      </w:pPr>
      <w:r>
        <w:rPr>
          <w:rFonts w:ascii="Arial" w:hAnsi="Arial" w:cs="Arial"/>
          <w:sz w:val="22"/>
          <w:szCs w:val="22"/>
        </w:rPr>
        <w:t xml:space="preserve">The quick brown fox jumps over the lazy dog. Pack my box with five dozen liquor jugs.</w:t>
      </w:r>
    </w:p>
    <w:p>
      <w:pPr>
        <w:spacing w:after="40"/>
      </w:pPr>
      <w:r>
        <w:rPr>
          <w:rFonts w:ascii="Georgia" w:hAnsi="Georgia" w:cs="Georgia"/>
          <w:b/>
          <w:sz w:val="22"/>
          <w:szCs w:val="22"/>
          <w:color w:val="2C3E50"/>
        </w:rPr>
        <w:t xml:space="preserve">Français — Georgia</w:t>
      </w:r>
    </w:p>
    <w:p>
      <w:pPr>
        <w:spacing w:after="200"/>
      </w:pPr>
      <w:r>
        <w:rPr>
          <w:rFonts w:ascii="Georgia" w:hAnsi="Georgia" w:cs="Georgia"/>
          <w:sz w:val="22"/>
          <w:szCs w:val="22"/>
        </w:rPr>
        <w:t xml:space="preserve">Le vif renard brun saute par-dessus le chien paresseux. Portez ce vieux whisky au juge blond qui fume.</w:t>
      </w:r>
    </w:p>
    <w:p>
      <w:pPr>
        <w:spacing w:after="40"/>
      </w:pPr>
      <w:r>
        <w:rPr>
          <w:rFonts w:ascii="Cambria" w:hAnsi="Cambria" w:cs="Cambria"/>
          <w:b/>
          <w:sz w:val="22"/>
          <w:szCs w:val="22"/>
          <w:color w:val="2C3E50"/>
        </w:rPr>
        <w:t xml:space="preserve">Deutsch — Cambria</w:t>
      </w:r>
    </w:p>
    <w:p>
      <w:pPr>
        <w:spacing w:after="200"/>
      </w:pPr>
      <w:r>
        <w:rPr>
          <w:rFonts w:ascii="Cambria" w:hAnsi="Cambria" w:cs="Cambria"/>
          <w:sz w:val="22"/>
          <w:szCs w:val="22"/>
        </w:rPr>
        <w:t xml:space="preserve">Franz jagt im komplett verwahrlosten Taxi quer durch Bayern. Zwölf Boxkämpfer jagen Eva quer über den großen Sylter Deich.</w:t>
      </w:r>
    </w:p>
    <w:p>
      <w:pPr>
        <w:spacing w:after="40"/>
      </w:pPr>
      <w:r>
        <w:rPr>
          <w:rFonts w:ascii="Palatino Linotype" w:hAnsi="Palatino Linotype" w:cs="Palatino Linotype"/>
          <w:b/>
          <w:sz w:val="22"/>
          <w:szCs w:val="22"/>
          <w:color w:val="2C3E50"/>
        </w:rPr>
        <w:t xml:space="preserve">Español — Palatino</w:t>
      </w:r>
    </w:p>
    <w:p>
      <w:pPr>
        <w:spacing w:after="200"/>
      </w:pPr>
      <w:r>
        <w:rPr>
          <w:rFonts w:ascii="Palatino Linotype" w:hAnsi="Palatino Linotype" w:cs="Palatino Linotype"/>
          <w:sz w:val="22"/>
          <w:szCs w:val="22"/>
        </w:rPr>
        <w:t xml:space="preserve">El veloz murciélago hindú comía feliz cardillo y kiwi. La cigüeña tocaba el saxofón detrás del palenque de paja.</w:t>
      </w:r>
    </w:p>
    <w:p>
      <w:pPr>
        <w:spacing w:after="40"/>
      </w:pPr>
      <w:r>
        <w:rPr>
          <w:rFonts w:ascii="Garamond" w:hAnsi="Garamond" w:cs="Garamond"/>
          <w:b/>
          <w:sz w:val="22"/>
          <w:szCs w:val="22"/>
          <w:color w:val="2C3E50"/>
        </w:rPr>
        <w:t xml:space="preserve">Italiano — Garamond</w:t>
      </w:r>
    </w:p>
    <w:p>
      <w:pPr>
        <w:spacing w:after="200"/>
      </w:pPr>
      <w:r>
        <w:rPr>
          <w:rFonts w:ascii="Garamond" w:hAnsi="Garamond" w:cs="Garamond"/>
          <w:sz w:val="22"/>
          <w:szCs w:val="22"/>
        </w:rPr>
        <w:t xml:space="preserve">Quel vituperabile xenofobo zelante difende il whisky. Ma la volpe col suo balzo ha raggiunto il quieto Fido.</w:t>
      </w:r>
    </w:p>
    <w:p>
      <w:pPr>
        <w:spacing w:after="40"/>
      </w:pPr>
      <w:r>
        <w:rPr>
          <w:rFonts w:ascii="Calibri" w:hAnsi="Calibri" w:cs="Calibri"/>
          <w:b/>
          <w:sz w:val="22"/>
          <w:szCs w:val="22"/>
          <w:color w:val="2C3E50"/>
        </w:rPr>
        <w:t xml:space="preserve">Português — Calibri</w:t>
      </w:r>
    </w:p>
    <w:p>
      <w:pPr>
        <w:spacing w:after="200"/>
      </w:pPr>
      <w:r>
        <w:rPr>
          <w:rFonts w:ascii="Calibri" w:hAnsi="Calibri" w:cs="Calibri"/>
          <w:sz w:val="22"/>
          <w:szCs w:val="22"/>
        </w:rPr>
        <w:t xml:space="preserve">À noite, vovô Kowalsky vê o ímã cair no pé do pinguim queixoso e vomita.</w:t>
      </w:r>
    </w:p>
    <w:p>
      <w:pPr>
        <w:spacing w:after="40"/>
      </w:pPr>
      <w:r>
        <w:rPr>
          <w:rFonts w:ascii="Tahoma" w:hAnsi="Tahoma" w:cs="Tahoma"/>
          <w:b/>
          <w:sz w:val="22"/>
          <w:szCs w:val="22"/>
          <w:color w:val="2C3E50"/>
        </w:rPr>
        <w:t xml:space="preserve">Русский — Tahoma</w:t>
      </w:r>
    </w:p>
    <w:p>
      <w:pPr>
        <w:spacing w:after="200"/>
      </w:pPr>
      <w:r>
        <w:rPr>
          <w:rFonts w:ascii="Tahoma" w:hAnsi="Tahoma" w:cs="Tahoma"/>
          <w:sz w:val="22"/>
          <w:szCs w:val="22"/>
        </w:rPr>
        <w:t xml:space="preserve">Съешь ещё этих мягких французских булок, да выпей чаю. Широкая электрификация южных губерний даст мощный толчок подъёму сельского хозяйства.</w:t>
      </w:r>
    </w:p>
    <w:p>
      <w:pPr>
        <w:spacing w:after="40"/>
      </w:pPr>
      <w:r>
        <w:rPr>
          <w:rFonts w:ascii="Segoe UI" w:hAnsi="Segoe UI" w:cs="Segoe UI"/>
          <w:b/>
          <w:sz w:val="22"/>
          <w:szCs w:val="22"/>
          <w:color w:val="2C3E50"/>
        </w:rPr>
        <w:t xml:space="preserve">日本語 — Segoe UI</w:t>
      </w:r>
    </w:p>
    <w:p>
      <w:pPr>
        <w:spacing w:after="200"/>
      </w:pPr>
      <w:r>
        <w:rPr>
          <w:rFonts w:ascii="Segoe UI" w:hAnsi="Segoe UI" w:cs="Segoe UI"/>
          <w:sz w:val="22"/>
          <w:szCs w:val="22"/>
        </w:rPr>
        <w:t xml:space="preserve">いろはにほへと ちりぬるを わかよたれそ つねならむ うゐのおくやま けふこえて あさきゆめみし ゑひもせす</w:t>
      </w:r>
    </w:p>
    <w:p>
      <w:pPr>
        <w:spacing w:after="40"/>
      </w:pPr>
      <w:r>
        <w:rPr>
          <w:rFonts w:ascii="Arial" w:hAnsi="Arial" w:cs="Arial"/>
          <w:b/>
          <w:sz w:val="22"/>
          <w:szCs w:val="22"/>
          <w:color w:val="2C3E50"/>
        </w:rPr>
        <w:t xml:space="preserve">العربية — Arial</w:t>
      </w:r>
    </w:p>
    <w:p>
      <w:pPr>
        <w:spacing w:after="200"/>
      </w:pPr>
      <w:r>
        <w:rPr>
          <w:rFonts w:ascii="Arial" w:hAnsi="Arial" w:cs="Arial"/>
          <w:sz w:val="22"/>
          <w:szCs w:val="22"/>
        </w:rPr>
        <w:t xml:space="preserve">صِف خَلقَ خَودٍ كَمِثلِ الشَمسِ إِذ بَزَغَت — يَحظى الضَجيعُ بِها نَجلاءَ مِعطارِ</w:t>
      </w:r>
    </w:p>
    <w:p>
      <w:pPr>
        <w:spacing w:after="40"/>
      </w:pPr>
      <w:r>
        <w:rPr>
          <w:rFonts w:ascii="Times New Roman" w:hAnsi="Times New Roman" w:cs="Times New Roman"/>
          <w:b/>
          <w:sz w:val="22"/>
          <w:szCs w:val="22"/>
          <w:color w:val="2C3E50"/>
        </w:rPr>
        <w:t xml:space="preserve">Ελληνικά — Times New Roman</w:t>
      </w:r>
    </w:p>
    <w:p>
      <w:pPr>
        <w:spacing w:after="200"/>
      </w:pPr>
      <w:r>
        <w:rPr>
          <w:rFonts w:ascii="Times New Roman" w:hAnsi="Times New Roman" w:cs="Times New Roman"/>
          <w:sz w:val="22"/>
          <w:szCs w:val="22"/>
        </w:rPr>
        <w:t xml:space="preserve">Ξεσκεπάζω τὴν ψυχοφθόρα βδελυγμία — φθαρτὸν ἄωρον σῶμα ζωῆς ἀνθρωπίνης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7. Lists and Enumeration</w:t>
      </w:r>
    </w:p>
    <w:p>
      <w:pPr>
        <w:pStyle w:val="Heading2"/>
        <w:spacing w:after="12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7.1 Bulleted List</w:t>
      </w:r>
    </w:p>
    <w:p>
      <w:pPr>
        <w:ind w:left="720"/>
        <w:spacing w:after="60"/>
      </w:pPr>
      <w:r>
        <w:rPr>
          <w:rFonts w:ascii="Arial" w:hAnsi="Arial" w:cs="Arial"/>
          <w:sz w:val="22"/>
          <w:szCs w:val="22"/>
        </w:rPr>
        <w:t xml:space="preserve">• Cross-platform build system with idempotent patch scripts</w:t>
      </w:r>
    </w:p>
    <w:p>
      <w:pPr>
        <w:ind w:left="720"/>
        <w:spacing w:after="60"/>
      </w:pPr>
      <w:r>
        <w:rPr>
          <w:rFonts w:ascii="Georgia" w:hAnsi="Georgia" w:cs="Georgia"/>
          <w:sz w:val="22"/>
          <w:szCs w:val="22"/>
        </w:rPr>
        <w:t xml:space="preserve">• Process-isolated worker architecture for crash resilience</w:t>
      </w:r>
    </w:p>
    <w:p>
      <w:pPr>
        <w:ind w:left="720"/>
        <w:spacing w:after="60"/>
      </w:pPr>
      <w:r>
        <w:rPr>
          <w:rFonts w:ascii="Verdana" w:hAnsi="Verdana" w:cs="Verdana"/>
          <w:sz w:val="22"/>
          <w:szCs w:val="22"/>
        </w:rPr>
        <w:t xml:space="preserve">• Length-prefixed JSON IPC protocol for .NET integration</w:t>
      </w:r>
    </w:p>
    <w:p>
      <w:pPr>
        <w:ind w:left="720"/>
        <w:spacing w:after="60"/>
      </w:pPr>
      <w:r>
        <w:rPr>
          <w:rFonts w:ascii="Calibri" w:hAnsi="Calibri" w:cs="Calibri"/>
          <w:sz w:val="22"/>
          <w:szCs w:val="22"/>
        </w:rPr>
        <w:t xml:space="preserve">• Automatic font diagnostics via stderr capture and parsing</w:t>
      </w:r>
    </w:p>
    <w:p>
      <w:pPr>
        <w:ind w:left="720"/>
        <w:spacing w:after="60"/>
      </w:pPr>
      <w:r>
        <w:rPr>
          <w:rFonts w:ascii="Trebuchet MS" w:hAnsi="Trebuchet MS" w:cs="Trebuchet MS"/>
          <w:sz w:val="22"/>
          <w:szCs w:val="22"/>
        </w:rPr>
        <w:t xml:space="preserve">• LTO optimization reducing merged library to ~65 MB</w:t>
      </w:r>
    </w:p>
    <w:p>
      <w:pPr>
        <w:ind w:left="720"/>
        <w:spacing w:after="60"/>
      </w:pPr>
      <w:r>
        <w:rPr>
          <w:rFonts w:ascii="Courier New" w:hAnsi="Courier New" w:cs="Courier New"/>
          <w:sz w:val="22"/>
          <w:szCs w:val="22"/>
        </w:rPr>
        <w:t xml:space="preserve">• ICU data filtering for en-US-only locale support</w:t>
      </w:r>
    </w:p>
    <w:p>
      <w:pPr>
        <w:pStyle w:val="Heading2"/>
        <w:spacing w:after="120"/>
      </w:pPr>
      <w:r>
        <w:rPr>
          <w:rFonts w:ascii="Trebuchet MS" w:hAnsi="Trebuchet MS" w:cs="Trebuchet MS"/>
          <w:b/>
          <w:sz w:val="36"/>
          <w:szCs w:val="36"/>
          <w:color w:val="2980B9"/>
        </w:rPr>
        <w:t xml:space="preserve">7.2 Numbered List</w:t>
      </w:r>
    </w:p>
    <w:p>
      <w:pPr>
        <w:ind w:left="720"/>
        <w:spacing w:after="60"/>
      </w:pPr>
      <w:r>
        <w:rPr>
          <w:rFonts w:ascii="Palatino Linotype" w:hAnsi="Palatino Linotype" w:cs="Palatino Linotype"/>
          <w:sz w:val="22"/>
          <w:szCs w:val="22"/>
        </w:rPr>
        <w:t xml:space="preserve">1. Clone vanilla LibreOffice source from upstream</w:t>
      </w:r>
    </w:p>
    <w:p>
      <w:pPr>
        <w:ind w:left="720"/>
        <w:spacing w:after="60"/>
      </w:pPr>
      <w:r>
        <w:rPr>
          <w:rFonts w:ascii="Cambria" w:hAnsi="Cambria" w:cs="Cambria"/>
          <w:sz w:val="22"/>
          <w:szCs w:val="22"/>
        </w:rPr>
        <w:t xml:space="preserve">2. Apply SlimLO patch scripts (idempotent, order-dependent)</w:t>
      </w:r>
    </w:p>
    <w:p>
      <w:pPr>
        <w:ind w:left="720"/>
        <w:spacing w:after="60"/>
      </w:pPr>
      <w:r>
        <w:rPr>
          <w:rFonts w:ascii="Garamond" w:hAnsi="Garamond" w:cs="Garamond"/>
          <w:sz w:val="22"/>
          <w:szCs w:val="22"/>
        </w:rPr>
        <w:t xml:space="preserve">3. Configure with --enable-slimlo and platform-specific flags</w:t>
      </w:r>
    </w:p>
    <w:p>
      <w:pPr>
        <w:ind w:left="720"/>
        <w:spacing w:after="60"/>
      </w:pPr>
      <w:r>
        <w:rPr>
          <w:rFonts w:ascii="Tahoma" w:hAnsi="Tahoma" w:cs="Tahoma"/>
          <w:sz w:val="22"/>
          <w:szCs w:val="22"/>
        </w:rPr>
        <w:t xml:space="preserve">4. Build with make -jN (adjust N for available RAM)</w:t>
      </w:r>
    </w:p>
    <w:p>
      <w:pPr>
        <w:ind w:left="720"/>
        <w:spacing w:after="60"/>
      </w:pPr>
      <w:r>
        <w:rPr>
          <w:rFonts w:ascii="Segoe UI" w:hAnsi="Segoe UI" w:cs="Segoe UI"/>
          <w:sz w:val="22"/>
          <w:szCs w:val="22"/>
        </w:rPr>
        <w:t xml:space="preserve">5. Extract minimal artifacts with extract-artifacts.sh</w:t>
      </w:r>
    </w:p>
    <w:p>
      <w:pPr>
        <w:ind w:left="720"/>
        <w:spacing w:after="60"/>
      </w:pPr>
      <w:r>
        <w:rPr>
          <w:rFonts w:ascii="Candara" w:hAnsi="Candara" w:cs="Candara"/>
          <w:sz w:val="22"/>
          <w:szCs w:val="22"/>
        </w:rPr>
        <w:t xml:space="preserve">6. Build C API wrapper (libslimlo + slimlo_worker)</w:t>
      </w:r>
    </w:p>
    <w:p>
      <w:pPr>
        <w:ind w:left="720"/>
        <w:spacing w:after="60"/>
      </w:pPr>
      <w:r>
        <w:rPr>
          <w:rFonts w:ascii="Franklin Gothic Medium" w:hAnsi="Franklin Gothic Medium" w:cs="Franklin Gothic Medium"/>
          <w:sz w:val="22"/>
          <w:szCs w:val="22"/>
        </w:rPr>
        <w:t xml:space="preserve">7. Package into NuGet native asset packages</w:t>
      </w:r>
    </w:p>
    <w:p>
      <w:pPr>
        <w:ind w:left="720"/>
        <w:spacing w:after="60"/>
      </w:pPr>
      <w:r>
        <w:rPr>
          <w:rFonts w:ascii="Century Gothic" w:hAnsi="Century Gothic" w:cs="Century Gothic"/>
          <w:sz w:val="22"/>
          <w:szCs w:val="22"/>
        </w:rPr>
        <w:t xml:space="preserve">8. Run integration tests to validate DOCX→PDF conversion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8. Color Spectrum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E74C3C"/>
        </w:rPr>
        <w:t xml:space="preserve">███ </w:t>
      </w:r>
      <w:r>
        <w:rPr>
          <w:rFonts w:ascii="Arial" w:hAnsi="Arial" w:cs="Arial"/>
          <w:b/>
          <w:sz w:val="22"/>
          <w:szCs w:val="22"/>
          <w:color w:val="E74C3C"/>
        </w:rPr>
        <w:t xml:space="preserve">Alizarin Red (#E74C3C) — </w:t>
      </w:r>
      <w:r>
        <w:rPr>
          <w:rFonts w:ascii="Arial" w:hAnsi="Arial" w:cs="Arial"/>
          <w:sz w:val="22"/>
          <w:szCs w:val="22"/>
          <w:color w:val="555555"/>
        </w:rPr>
        <w:t xml:space="preserve">Rendered in Arial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E67E22"/>
        </w:rPr>
        <w:t xml:space="preserve">███ </w:t>
      </w:r>
      <w:r>
        <w:rPr>
          <w:rFonts w:ascii="Times New Roman" w:hAnsi="Times New Roman" w:cs="Times New Roman"/>
          <w:b/>
          <w:sz w:val="22"/>
          <w:szCs w:val="22"/>
          <w:color w:val="E67E22"/>
        </w:rPr>
        <w:t xml:space="preserve">Carrot Orange (#E67E22) — </w:t>
      </w:r>
      <w:r>
        <w:rPr>
          <w:rFonts w:ascii="Times New Roman" w:hAnsi="Times New Roman" w:cs="Times New Roman"/>
          <w:sz w:val="22"/>
          <w:szCs w:val="22"/>
          <w:color w:val="555555"/>
        </w:rPr>
        <w:t xml:space="preserve">Rendered in Times New Roman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F1C40F"/>
        </w:rPr>
        <w:t xml:space="preserve">███ </w:t>
      </w:r>
      <w:r>
        <w:rPr>
          <w:rFonts w:ascii="Courier New" w:hAnsi="Courier New" w:cs="Courier New"/>
          <w:b/>
          <w:sz w:val="22"/>
          <w:szCs w:val="22"/>
          <w:color w:val="F1C40F"/>
        </w:rPr>
        <w:t xml:space="preserve">Sunflower Yellow (#F1C40F) — </w:t>
      </w:r>
      <w:r>
        <w:rPr>
          <w:rFonts w:ascii="Courier New" w:hAnsi="Courier New" w:cs="Courier New"/>
          <w:sz w:val="22"/>
          <w:szCs w:val="22"/>
          <w:color w:val="555555"/>
        </w:rPr>
        <w:t xml:space="preserve">Rendered in Courier New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2ECC71"/>
        </w:rPr>
        <w:t xml:space="preserve">███ </w:t>
      </w:r>
      <w:r>
        <w:rPr>
          <w:rFonts w:ascii="Georgia" w:hAnsi="Georgia" w:cs="Georgia"/>
          <w:b/>
          <w:sz w:val="22"/>
          <w:szCs w:val="22"/>
          <w:color w:val="2ECC71"/>
        </w:rPr>
        <w:t xml:space="preserve">Emerald Green (#2ECC71) — </w:t>
      </w:r>
      <w:r>
        <w:rPr>
          <w:rFonts w:ascii="Georgia" w:hAnsi="Georgia" w:cs="Georgia"/>
          <w:sz w:val="22"/>
          <w:szCs w:val="22"/>
          <w:color w:val="555555"/>
        </w:rPr>
        <w:t xml:space="preserve">Rendered in Georgia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1ABC9C"/>
        </w:rPr>
        <w:t xml:space="preserve">███ </w:t>
      </w:r>
      <w:r>
        <w:rPr>
          <w:rFonts w:ascii="Verdana" w:hAnsi="Verdana" w:cs="Verdana"/>
          <w:b/>
          <w:sz w:val="22"/>
          <w:szCs w:val="22"/>
          <w:color w:val="1ABC9C"/>
        </w:rPr>
        <w:t xml:space="preserve">Turquoise (#1ABC9C) — </w:t>
      </w:r>
      <w:r>
        <w:rPr>
          <w:rFonts w:ascii="Verdana" w:hAnsi="Verdana" w:cs="Verdana"/>
          <w:sz w:val="22"/>
          <w:szCs w:val="22"/>
          <w:color w:val="555555"/>
        </w:rPr>
        <w:t xml:space="preserve">Rendered in Verdana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3498DB"/>
        </w:rPr>
        <w:t xml:space="preserve">███ </w:t>
      </w:r>
      <w:r>
        <w:rPr>
          <w:rFonts w:ascii="Trebuchet MS" w:hAnsi="Trebuchet MS" w:cs="Trebuchet MS"/>
          <w:b/>
          <w:sz w:val="22"/>
          <w:szCs w:val="22"/>
          <w:color w:val="3498DB"/>
        </w:rPr>
        <w:t xml:space="preserve">Peter River Blue (#3498DB) — </w:t>
      </w:r>
      <w:r>
        <w:rPr>
          <w:rFonts w:ascii="Trebuchet MS" w:hAnsi="Trebuchet MS" w:cs="Trebuchet MS"/>
          <w:sz w:val="22"/>
          <w:szCs w:val="22"/>
          <w:color w:val="555555"/>
        </w:rPr>
        <w:t xml:space="preserve">Rendered in Trebuchet MS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9B59B6"/>
        </w:rPr>
        <w:t xml:space="preserve">███ </w:t>
      </w:r>
      <w:r>
        <w:rPr>
          <w:rFonts w:ascii="Palatino Linotype" w:hAnsi="Palatino Linotype" w:cs="Palatino Linotype"/>
          <w:b/>
          <w:sz w:val="22"/>
          <w:szCs w:val="22"/>
          <w:color w:val="9B59B6"/>
        </w:rPr>
        <w:t xml:space="preserve">Amethyst Purple (#9B59B6) — </w:t>
      </w:r>
      <w:r>
        <w:rPr>
          <w:rFonts w:ascii="Palatino Linotype" w:hAnsi="Palatino Linotype" w:cs="Palatino Linotype"/>
          <w:sz w:val="22"/>
          <w:szCs w:val="22"/>
          <w:color w:val="555555"/>
        </w:rPr>
        <w:t xml:space="preserve">Rendered in Palatino Linotype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34495E"/>
        </w:rPr>
        <w:t xml:space="preserve">███ </w:t>
      </w:r>
      <w:r>
        <w:rPr>
          <w:rFonts w:ascii="Book Antiqua" w:hAnsi="Book Antiqua" w:cs="Book Antiqua"/>
          <w:b/>
          <w:sz w:val="22"/>
          <w:szCs w:val="22"/>
          <w:color w:val="34495E"/>
        </w:rPr>
        <w:t xml:space="preserve">Wet Asphalt (#34495E) — </w:t>
      </w:r>
      <w:r>
        <w:rPr>
          <w:rFonts w:ascii="Book Antiqua" w:hAnsi="Book Antiqua" w:cs="Book Antiqua"/>
          <w:sz w:val="22"/>
          <w:szCs w:val="22"/>
          <w:color w:val="555555"/>
        </w:rPr>
        <w:t xml:space="preserve">Rendered in Book Antiqua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95A5A6"/>
        </w:rPr>
        <w:t xml:space="preserve">███ </w:t>
      </w:r>
      <w:r>
        <w:rPr>
          <w:rFonts w:ascii="Garamond" w:hAnsi="Garamond" w:cs="Garamond"/>
          <w:b/>
          <w:sz w:val="22"/>
          <w:szCs w:val="22"/>
          <w:color w:val="95A5A6"/>
        </w:rPr>
        <w:t xml:space="preserve">Concrete Gray (#95A5A6) — </w:t>
      </w:r>
      <w:r>
        <w:rPr>
          <w:rFonts w:ascii="Garamond" w:hAnsi="Garamond" w:cs="Garamond"/>
          <w:sz w:val="22"/>
          <w:szCs w:val="22"/>
          <w:color w:val="555555"/>
        </w:rPr>
        <w:t xml:space="preserve">Rendered in Garamond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E84393"/>
        </w:rPr>
        <w:t xml:space="preserve">███ </w:t>
      </w:r>
      <w:r>
        <w:rPr>
          <w:rFonts w:ascii="Cambria" w:hAnsi="Cambria" w:cs="Cambria"/>
          <w:b/>
          <w:sz w:val="22"/>
          <w:szCs w:val="22"/>
          <w:color w:val="E84393"/>
        </w:rPr>
        <w:t xml:space="preserve">Fuchsia Pink (#E84393) — </w:t>
      </w:r>
      <w:r>
        <w:rPr>
          <w:rFonts w:ascii="Cambria" w:hAnsi="Cambria" w:cs="Cambria"/>
          <w:sz w:val="22"/>
          <w:szCs w:val="22"/>
          <w:color w:val="555555"/>
        </w:rPr>
        <w:t xml:space="preserve">Rendered in Cambria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6C5CE7"/>
        </w:rPr>
        <w:t xml:space="preserve">███ </w:t>
      </w:r>
      <w:r>
        <w:rPr>
          <w:rFonts w:ascii="Calibri" w:hAnsi="Calibri" w:cs="Calibri"/>
          <w:b/>
          <w:sz w:val="22"/>
          <w:szCs w:val="22"/>
          <w:color w:val="6C5CE7"/>
        </w:rPr>
        <w:t xml:space="preserve">Lavender (#6C5CE7) — </w:t>
      </w:r>
      <w:r>
        <w:rPr>
          <w:rFonts w:ascii="Calibri" w:hAnsi="Calibri" w:cs="Calibri"/>
          <w:sz w:val="22"/>
          <w:szCs w:val="22"/>
          <w:color w:val="555555"/>
        </w:rPr>
        <w:t xml:space="preserve">Rendered in Calibri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00CEC9"/>
        </w:rPr>
        <w:t xml:space="preserve">███ </w:t>
      </w:r>
      <w:r>
        <w:rPr>
          <w:rFonts w:ascii="Consolas" w:hAnsi="Consolas" w:cs="Consolas"/>
          <w:b/>
          <w:sz w:val="22"/>
          <w:szCs w:val="22"/>
          <w:color w:val="00CEC9"/>
        </w:rPr>
        <w:t xml:space="preserve">Cyan (#00CEC9) — </w:t>
      </w:r>
      <w:r>
        <w:rPr>
          <w:rFonts w:ascii="Consolas" w:hAnsi="Consolas" w:cs="Consolas"/>
          <w:sz w:val="22"/>
          <w:szCs w:val="22"/>
          <w:color w:val="555555"/>
        </w:rPr>
        <w:t xml:space="preserve">Rendered in Consolas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FDCB6E"/>
        </w:rPr>
        <w:t xml:space="preserve">███ </w:t>
      </w:r>
      <w:r>
        <w:rPr>
          <w:rFonts w:ascii="Lucida Console" w:hAnsi="Lucida Console" w:cs="Lucida Console"/>
          <w:b/>
          <w:sz w:val="22"/>
          <w:szCs w:val="22"/>
          <w:color w:val="FDCB6E"/>
        </w:rPr>
        <w:t xml:space="preserve">Gold (#FDCB6E) — </w:t>
      </w:r>
      <w:r>
        <w:rPr>
          <w:rFonts w:ascii="Lucida Console" w:hAnsi="Lucida Console" w:cs="Lucida Console"/>
          <w:sz w:val="22"/>
          <w:szCs w:val="22"/>
          <w:color w:val="555555"/>
        </w:rPr>
        <w:t xml:space="preserve">Rendered in Lucida Console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E17055"/>
        </w:rPr>
        <w:t xml:space="preserve">███ </w:t>
      </w:r>
      <w:r>
        <w:rPr>
          <w:rFonts w:ascii="Tahoma" w:hAnsi="Tahoma" w:cs="Tahoma"/>
          <w:b/>
          <w:sz w:val="22"/>
          <w:szCs w:val="22"/>
          <w:color w:val="E17055"/>
        </w:rPr>
        <w:t xml:space="preserve">Burnt Sienna (#E17055) — </w:t>
      </w:r>
      <w:r>
        <w:rPr>
          <w:rFonts w:ascii="Tahoma" w:hAnsi="Tahoma" w:cs="Tahoma"/>
          <w:sz w:val="22"/>
          <w:szCs w:val="22"/>
          <w:color w:val="555555"/>
        </w:rPr>
        <w:t xml:space="preserve">Rendered in Tahoma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0984E3"/>
        </w:rPr>
        <w:t xml:space="preserve">███ </w:t>
      </w:r>
      <w:r>
        <w:rPr>
          <w:rFonts w:ascii="Century Gothic" w:hAnsi="Century Gothic" w:cs="Century Gothic"/>
          <w:b/>
          <w:sz w:val="22"/>
          <w:szCs w:val="22"/>
          <w:color w:val="0984E3"/>
        </w:rPr>
        <w:t xml:space="preserve">Electron Blue (#0984E3) — </w:t>
      </w:r>
      <w:r>
        <w:rPr>
          <w:rFonts w:ascii="Century Gothic" w:hAnsi="Century Gothic" w:cs="Century Gothic"/>
          <w:sz w:val="22"/>
          <w:szCs w:val="22"/>
          <w:color w:val="555555"/>
        </w:rPr>
        <w:t xml:space="preserve">Rendered in Century Gothic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636E72"/>
        </w:rPr>
        <w:t xml:space="preserve">███ </w:t>
      </w:r>
      <w:r>
        <w:rPr>
          <w:rFonts w:ascii="Franklin Gothic Medium" w:hAnsi="Franklin Gothic Medium" w:cs="Franklin Gothic Medium"/>
          <w:b/>
          <w:sz w:val="22"/>
          <w:szCs w:val="22"/>
          <w:color w:val="636E72"/>
        </w:rPr>
        <w:t xml:space="preserve">Smoke Gray (#636E72) — </w:t>
      </w:r>
      <w:r>
        <w:rPr>
          <w:rFonts w:ascii="Franklin Gothic Medium" w:hAnsi="Franklin Gothic Medium" w:cs="Franklin Gothic Medium"/>
          <w:sz w:val="22"/>
          <w:szCs w:val="22"/>
          <w:color w:val="555555"/>
        </w:rPr>
        <w:t xml:space="preserve">Rendered in Franklin Gothic Medium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2D3436"/>
        </w:rPr>
        <w:t xml:space="preserve">███ </w:t>
      </w:r>
      <w:r>
        <w:rPr>
          <w:rFonts w:ascii="Segoe UI" w:hAnsi="Segoe UI" w:cs="Segoe UI"/>
          <w:b/>
          <w:sz w:val="22"/>
          <w:szCs w:val="22"/>
          <w:color w:val="2D3436"/>
        </w:rPr>
        <w:t xml:space="preserve">Graphite (#2D3436) — </w:t>
      </w:r>
      <w:r>
        <w:rPr>
          <w:rFonts w:ascii="Segoe UI" w:hAnsi="Segoe UI" w:cs="Segoe UI"/>
          <w:sz w:val="22"/>
          <w:szCs w:val="22"/>
          <w:color w:val="555555"/>
        </w:rPr>
        <w:t xml:space="preserve">Rendered in Segoe UI</w:t>
      </w:r>
    </w:p>
    <w:p>
      <w:pPr>
        <w:spacing w:after="80"/>
      </w:pPr>
      <w:r>
        <w:rPr>
          <w:rFonts w:ascii="Consolas" w:hAnsi="Consolas" w:cs="Consolas"/>
          <w:sz w:val="28"/>
          <w:szCs w:val="28"/>
          <w:color w:val="D63031"/>
        </w:rPr>
        <w:t xml:space="preserve">███ </w:t>
      </w:r>
      <w:r>
        <w:rPr>
          <w:rFonts w:ascii="Impact" w:hAnsi="Impact" w:cs="Impact"/>
          <w:b/>
          <w:sz w:val="22"/>
          <w:szCs w:val="22"/>
          <w:color w:val="D63031"/>
        </w:rPr>
        <w:t xml:space="preserve">Pomegranate (#D63031) — </w:t>
      </w:r>
      <w:r>
        <w:rPr>
          <w:rFonts w:ascii="Impact" w:hAnsi="Impact" w:cs="Impact"/>
          <w:sz w:val="22"/>
          <w:szCs w:val="22"/>
          <w:color w:val="555555"/>
        </w:rPr>
        <w:t xml:space="preserve">Rendered in Impact</w:t>
      </w:r>
    </w:p>
    <w:p>
      <w:pPr>
        <w:pageBreakBefore/>
      </w:pPr>
    </w:p>
    <w:p>
      <w:pPr>
        <w:pStyle w:val="Heading1"/>
        <w:spacing w:after="200"/>
      </w:pPr>
      <w:r>
        <w:rPr>
          <w:rFonts w:ascii="Arial" w:hAnsi="Arial" w:cs="Arial"/>
          <w:b/>
          <w:sz w:val="56"/>
          <w:szCs w:val="56"/>
          <w:color w:val="2C3E50"/>
        </w:rPr>
        <w:t xml:space="preserve">Appendix A: Font Size Ladder</w:t>
      </w:r>
    </w:p>
    <w:p>
      <w:pPr>
        <w:spacing w:after="60"/>
      </w:pPr>
      <w:r>
        <w:rPr>
          <w:rFonts w:ascii="Palatino Linotype" w:hAnsi="Palatino Linotype" w:cs="Palatino Linotype"/>
          <w:sz w:val="12"/>
          <w:szCs w:val="12"/>
        </w:rPr>
        <w:t xml:space="preserve">6pt — Palatino Linotype: The quick brown fox</w:t>
      </w:r>
    </w:p>
    <w:p>
      <w:pPr>
        <w:spacing w:after="60"/>
      </w:pPr>
      <w:r>
        <w:rPr>
          <w:rFonts w:ascii="Book Antiqua" w:hAnsi="Book Antiqua" w:cs="Book Antiqua"/>
          <w:sz w:val="14"/>
          <w:szCs w:val="14"/>
        </w:rPr>
        <w:t xml:space="preserve">7pt — Book Antiqua: The quick brown fox</w:t>
      </w:r>
    </w:p>
    <w:p>
      <w:pPr>
        <w:spacing w:after="60"/>
      </w:pPr>
      <w:r>
        <w:rPr>
          <w:rFonts w:ascii="Garamond" w:hAnsi="Garamond" w:cs="Garamond"/>
          <w:sz w:val="16"/>
          <w:szCs w:val="16"/>
        </w:rPr>
        <w:t xml:space="preserve">8pt — Garamond: The quick brown fox</w:t>
      </w:r>
    </w:p>
    <w:p>
      <w:pPr>
        <w:spacing w:after="60"/>
      </w:pPr>
      <w:r>
        <w:rPr>
          <w:rFonts w:ascii="Cambria" w:hAnsi="Cambria" w:cs="Cambria"/>
          <w:sz w:val="18"/>
          <w:szCs w:val="18"/>
        </w:rPr>
        <w:t xml:space="preserve">9pt — Cambria: The quick brown fox</w:t>
      </w:r>
    </w:p>
    <w:p>
      <w:pPr>
        <w:spacing w:after="60"/>
      </w:pPr>
      <w:r>
        <w:rPr>
          <w:rFonts w:ascii="Calibri" w:hAnsi="Calibri" w:cs="Calibri"/>
          <w:sz w:val="20"/>
          <w:szCs w:val="20"/>
        </w:rPr>
        <w:t xml:space="preserve">10pt — Calibri: The quick brown fox</w:t>
      </w:r>
    </w:p>
    <w:p>
      <w:pPr>
        <w:spacing w:after="60"/>
      </w:pPr>
      <w:r>
        <w:rPr>
          <w:rFonts w:ascii="Consolas" w:hAnsi="Consolas" w:cs="Consolas"/>
          <w:sz w:val="22"/>
          <w:szCs w:val="22"/>
        </w:rPr>
        <w:t xml:space="preserve">11pt — Consolas: The quick brown fox</w:t>
      </w:r>
    </w:p>
    <w:p>
      <w:pPr>
        <w:spacing w:after="60"/>
      </w:pPr>
      <w:r>
        <w:rPr>
          <w:rFonts w:ascii="Lucida Console" w:hAnsi="Lucida Console" w:cs="Lucida Console"/>
          <w:sz w:val="24"/>
          <w:szCs w:val="24"/>
        </w:rPr>
        <w:t xml:space="preserve">12pt — Lucida Console: The quick brown fox</w:t>
      </w:r>
    </w:p>
    <w:p>
      <w:pPr>
        <w:spacing w:after="60"/>
      </w:pPr>
      <w:r>
        <w:rPr>
          <w:rFonts w:ascii="Century Gothic" w:hAnsi="Century Gothic" w:cs="Century Gothic"/>
          <w:sz w:val="28"/>
          <w:szCs w:val="28"/>
        </w:rPr>
        <w:t xml:space="preserve">14pt — Century Gothic: The quick brown fox</w:t>
      </w:r>
    </w:p>
    <w:p>
      <w:pPr>
        <w:spacing w:after="60"/>
      </w:pPr>
      <w:r>
        <w:rPr>
          <w:rFonts w:ascii="Segoe UI" w:hAnsi="Segoe UI" w:cs="Segoe UI"/>
          <w:sz w:val="32"/>
          <w:szCs w:val="32"/>
        </w:rPr>
        <w:t xml:space="preserve">16pt — Segoe UI: The quick brown fox</w:t>
      </w:r>
    </w:p>
    <w:p>
      <w:pPr>
        <w:spacing w:after="60"/>
      </w:pPr>
      <w:r>
        <w:rPr>
          <w:rFonts w:ascii="Arial Narrow" w:hAnsi="Arial Narrow" w:cs="Arial Narrow"/>
          <w:sz w:val="36"/>
          <w:szCs w:val="36"/>
        </w:rPr>
        <w:t xml:space="preserve">18pt — Arial Narrow: The quick brown fox</w:t>
      </w:r>
    </w:p>
    <w:p>
      <w:pPr>
        <w:spacing w:after="60"/>
      </w:pPr>
      <w:r>
        <w:rPr>
          <w:rFonts w:ascii="Arial" w:hAnsi="Arial" w:cs="Arial"/>
          <w:sz w:val="40"/>
          <w:szCs w:val="40"/>
        </w:rPr>
        <w:t xml:space="preserve">20pt — Arial: The quick brown fox</w:t>
      </w:r>
    </w:p>
    <w:p>
      <w:pPr>
        <w:spacing w:after="60"/>
      </w:pPr>
      <w:r>
        <w:rPr>
          <w:rFonts w:ascii="Verdana" w:hAnsi="Verdana" w:cs="Verdana"/>
          <w:sz w:val="48"/>
          <w:szCs w:val="48"/>
        </w:rPr>
        <w:t xml:space="preserve">24pt — Verdana: The quick brown fox</w:t>
      </w:r>
    </w:p>
    <w:p>
      <w:pPr>
        <w:spacing w:after="60"/>
      </w:pPr>
      <w:r>
        <w:rPr>
          <w:rFonts w:ascii="Garamond" w:hAnsi="Garamond" w:cs="Garamond"/>
          <w:sz w:val="56"/>
          <w:szCs w:val="56"/>
        </w:rPr>
        <w:t xml:space="preserve">28pt — Garamond: The quick brown fox</w:t>
      </w:r>
    </w:p>
    <w:p>
      <w:pPr>
        <w:spacing w:after="60"/>
      </w:pPr>
      <w:r>
        <w:rPr>
          <w:rFonts w:ascii="Segoe UI" w:hAnsi="Segoe UI" w:cs="Segoe UI"/>
          <w:sz w:val="72"/>
          <w:szCs w:val="72"/>
        </w:rPr>
        <w:t xml:space="preserve">36pt — Segoe UI: The quick brown fox</w:t>
      </w:r>
    </w:p>
    <w:p>
      <w:pPr>
        <w:spacing w:after="60"/>
      </w:pPr>
      <w:r>
        <w:rPr>
          <w:rFonts w:ascii="Garamond" w:hAnsi="Garamond" w:cs="Garamond"/>
          <w:sz w:val="96"/>
          <w:szCs w:val="96"/>
        </w:rPr>
        <w:t xml:space="preserve">48pt — Garamond: The quick brown fox</w:t>
      </w:r>
    </w:p>
    <w:p>
      <w:pPr>
        <w:pageBreakBefore/>
      </w:pPr>
    </w:p>
    <w:p>
      <w:pPr>
        <w:spacing w:after="2000"/>
      </w:pPr>
    </w:p>
    <w:p>
      <w:pPr>
        <w:jc w:val="center"/>
        <w:spacing w:after="200"/>
      </w:pPr>
      <w:r>
        <w:rPr>
          <w:rFonts w:ascii="Georgia" w:hAnsi="Georgia" w:cs="Georgia"/>
          <w:i/>
          <w:sz w:val="36"/>
          <w:szCs w:val="36"/>
          <w:color w:val="7F8C8D"/>
        </w:rPr>
        <w:t xml:space="preserve">— End of Document —</w:t>
      </w:r>
    </w:p>
    <w:p>
      <w:pPr>
        <w:jc w:val="center"/>
      </w:pPr>
      <w:r>
        <w:rPr>
          <w:rFonts w:ascii="Calibri" w:hAnsi="Calibri" w:cs="Calibri"/>
          <w:sz w:val="18"/>
          <w:szCs w:val="18"/>
          <w:color w:val="BDC3C7"/>
        </w:rPr>
        <w:t xml:space="preserve">This document contains 166 paragraphs, 8 footnotes, 3 embedded images, 2 tables, and 20 distinct fonts.</w:t>
      </w:r>
    </w:p>
    <w:sectPr>
      <w:pgSz w:w="12240" w:h="15840"/>
      <w:pgMar w:top="1440" w:right="1440" w:bottom="1440" w:left="1440" w:header="720" w:footer="720" w:gutter="0"/>
      <w:footnotePr>
        <w:numFmt w:val="decimal"/>
      </w:footnotePr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Georgia" w:hAnsi="Georgia"/>
          <w:sz w:val="18"/>
          <w:szCs w:val="18"/>
        </w:rPr>
        <w:t xml:space="preserve"> This is an important clarification that provides additional context for the reader.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Cambria" w:hAnsi="Cambria"/>
          <w:sz w:val="18"/>
          <w:szCs w:val="18"/>
        </w:rPr>
        <w:t xml:space="preserve"> See also: RFC 2119 for definitions of key terminology used throughout this document.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rFonts w:ascii="Garamond" w:hAnsi="Garamond"/>
          <w:sz w:val="18"/>
          <w:szCs w:val="18"/>
        </w:rPr>
        <w:t xml:space="preserve"> Statistical significance was determined at the p &lt; 0.05 level using a two-tailed test.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rPr>
          <w:rFonts w:ascii="Arial" w:hAnsi="Arial"/>
          <w:sz w:val="18"/>
          <w:szCs w:val="18"/>
        </w:rPr>
        <w:t xml:space="preserve"> The original source material was published in the Journal of Complex Systems, Vol. 42.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rPr>
          <w:rFonts w:ascii="Trebuchet MS" w:hAnsi="Trebuchet MS"/>
          <w:sz w:val="18"/>
          <w:szCs w:val="18"/>
        </w:rPr>
        <w:t xml:space="preserve"> Note that these values are approximations and may vary depending on environmental conditions.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  <w:szCs w:val="18"/>
        </w:rPr>
        <w:t xml:space="preserve"> For a comprehensive treatment of this topic, consult Knuth, The Art of Computer Programming.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rPr>
          <w:rFonts w:ascii="Franklin Gothic Medium" w:hAnsi="Franklin Gothic Medium"/>
          <w:sz w:val="18"/>
          <w:szCs w:val="18"/>
        </w:rPr>
        <w:t xml:space="preserve"> This methodology was first described by Dijkstra in his seminal 1968 paper.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rPr>
          <w:rFonts w:ascii="Arial" w:hAnsi="Arial"/>
          <w:sz w:val="18"/>
          <w:szCs w:val="18"/>
        </w:rPr>
        <w:t xml:space="preserve"> Translation from the original Latin by the author; any errors are the author's own.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keepNext/>
      <w:outlineLvl w:val="0"/>
    </w:pPr>
    <w:rPr>
      <w:b/>
      <w:sz w:val="48"/>
    </w:rPr>
  </w:style>
  <w:style w:type="paragraph" w:styleId="Heading2">
    <w:name w:val="heading 2"/>
    <w:pPr>
      <w:keepNext/>
      <w:outlineLvl w:val="1"/>
    </w:pPr>
    <w:rPr>
      <w:b/>
      <w:sz w:val="36"/>
    </w:rPr>
  </w:style>
  <w:style w:type="paragraph" w:styleId="Heading3">
    <w:name w:val="heading 3"/>
    <w:pPr>
      <w:keepNext/>
      <w:outlineLvl w:val="2"/>
    </w:pPr>
    <w:rPr>
      <w:b/>
      <w:sz w:val="28"/>
    </w:rPr>
  </w:style>
  <w:style w:type="paragraph" w:styleId="FootnoteText">
    <w:name w:val="footnote text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  <Relationship Id="rId10" Type="http://schemas.openxmlformats.org/officeDocument/2006/relationships/image" Target="media/gradient.png"/>
  <Relationship Id="rId11" Type="http://schemas.openxmlformats.org/officeDocument/2006/relationships/image" Target="media/checkerboard.png"/>
  <Relationship Id="rId12" Type="http://schemas.openxmlformats.org/officeDocument/2006/relationships/image" Target="media/chart.png"/>
</Relationships>
</file>