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80"/>
        <w:jc w:val="center"/>
        <w:rPr>
          <w:rFonts w:cs="Times New Roman"/>
          <w:sz w:val="28"/>
          <w:szCs w:val="28"/>
          <w:lang w:val="hr-BA"/>
        </w:rPr>
      </w:pPr>
      <w:r>
        <w:rPr>
          <w:rFonts w:cs="Times New Roman"/>
          <w:b/>
          <w:bCs/>
          <w:sz w:val="28"/>
          <w:szCs w:val="28"/>
          <w:lang w:val="hr-BA"/>
        </w:rPr>
        <w:t>FAKULTET STROJARSTVA, RAČUNARSTVA I ELEKTROTEHNIKE</w:t>
      </w:r>
      <w:r>
        <w:rPr>
          <w:rFonts w:cs="Times New Roman"/>
          <w:sz w:val="28"/>
          <w:szCs w:val="28"/>
          <w:lang w:val="hr-BA"/>
        </w:rPr>
        <w:br/>
      </w:r>
      <w:r>
        <w:rPr>
          <w:rFonts w:cs="Times New Roman"/>
          <w:b/>
          <w:bCs/>
          <w:sz w:val="28"/>
          <w:szCs w:val="28"/>
          <w:lang w:val="hr-BA"/>
        </w:rPr>
        <w:t>Projektiranje Informacijskih Sustava</w:t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  <w:r>
        <w:rPr>
          <w:rFonts w:cs="Times New Roman"/>
          <w:b/>
          <w:bCs/>
          <w:sz w:val="32"/>
          <w:szCs w:val="32"/>
          <w:lang w:val="hr-BA"/>
        </w:rPr>
      </w:r>
    </w:p>
    <w:p>
      <w:pPr>
        <w:pStyle w:val="Normal"/>
        <w:spacing w:before="160" w:after="80"/>
        <w:jc w:val="center"/>
        <w:rPr>
          <w:rFonts w:cs="Times New Roman"/>
          <w:sz w:val="36"/>
          <w:szCs w:val="36"/>
          <w:lang w:val="hr-BA"/>
        </w:rPr>
      </w:pPr>
      <w:r>
        <w:rPr>
          <w:rFonts w:cs="Times New Roman"/>
          <w:b/>
          <w:bCs/>
          <w:sz w:val="36"/>
          <w:szCs w:val="36"/>
          <w:lang w:val="hr-BA"/>
        </w:rPr>
        <w:t>„</w:t>
      </w:r>
      <w:r>
        <w:rPr>
          <w:rFonts w:cs="Times New Roman"/>
          <w:b/>
          <w:bCs/>
          <w:sz w:val="36"/>
          <w:szCs w:val="36"/>
          <w:lang w:val="hr-BA"/>
        </w:rPr>
        <w:t>Informacijski sustav za upravljanje</w:t>
      </w:r>
    </w:p>
    <w:p>
      <w:pPr>
        <w:pStyle w:val="Normal"/>
        <w:spacing w:before="0" w:after="80"/>
        <w:jc w:val="center"/>
        <w:rPr>
          <w:rFonts w:cs="Times New Roman"/>
          <w:b/>
          <w:bCs/>
          <w:sz w:val="36"/>
          <w:szCs w:val="36"/>
          <w:lang w:val="hr-BA"/>
        </w:rPr>
      </w:pPr>
      <w:r>
        <w:rPr>
          <w:rFonts w:cs="Times New Roman"/>
          <w:b/>
          <w:bCs/>
          <w:sz w:val="36"/>
          <w:szCs w:val="36"/>
          <w:lang w:val="hr-BA"/>
        </w:rPr>
        <w:t>inventarom nošnje KUDTrack“</w:t>
      </w:r>
    </w:p>
    <w:p>
      <w:pPr>
        <w:pStyle w:val="Normal"/>
        <w:spacing w:before="0" w:after="80"/>
        <w:jc w:val="center"/>
        <w:rPr>
          <w:rFonts w:cs="Times New Roman"/>
          <w:b/>
          <w:bCs/>
          <w:sz w:val="36"/>
          <w:szCs w:val="36"/>
          <w:lang w:val="hr-BA"/>
        </w:rPr>
      </w:pPr>
      <w:r>
        <w:rPr>
          <w:rFonts w:cs="Times New Roman"/>
          <w:b/>
          <w:bCs/>
          <w:sz w:val="36"/>
          <w:szCs w:val="36"/>
          <w:lang w:val="hr-BA"/>
        </w:rPr>
        <w:t>Specifikacija zahtjeva</w:t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40" w:after="40"/>
        <w:rPr>
          <w:rFonts w:cs="Times New Roman"/>
          <w:lang w:val="hr-BA"/>
        </w:rPr>
      </w:pPr>
      <w:r>
        <w:rPr>
          <w:rFonts w:cs="Times New Roman"/>
          <w:lang w:val="hr-BA"/>
        </w:rPr>
      </w:r>
    </w:p>
    <w:p>
      <w:pPr>
        <w:pStyle w:val="Normal"/>
        <w:spacing w:before="0" w:after="80"/>
        <w:jc w:val="center"/>
        <w:rPr>
          <w:rFonts w:cs="Times New Roman"/>
          <w:sz w:val="24"/>
          <w:szCs w:val="24"/>
          <w:lang w:val="hr-BA"/>
        </w:rPr>
      </w:pPr>
      <w:r>
        <w:rPr>
          <w:rFonts w:cs="Times New Roman"/>
          <w:color w:val="666666"/>
          <w:sz w:val="24"/>
          <w:szCs w:val="24"/>
          <w:lang w:val="hr-BA"/>
        </w:rPr>
        <w:t>Verzija: 1.</w:t>
      </w:r>
      <w:r>
        <w:rPr>
          <w:rFonts w:cs="Times New Roman"/>
          <w:color w:val="666666"/>
          <w:sz w:val="24"/>
          <w:szCs w:val="24"/>
          <w:lang w:val="hr-BA"/>
        </w:rPr>
        <w:t>1</w:t>
      </w:r>
    </w:p>
    <w:p>
      <w:pPr>
        <w:pStyle w:val="Normal"/>
        <w:spacing w:before="0" w:after="80"/>
        <w:jc w:val="center"/>
        <w:rPr>
          <w:rFonts w:cs="Times New Roman"/>
          <w:sz w:val="24"/>
          <w:szCs w:val="24"/>
          <w:lang w:val="hr-BA"/>
        </w:rPr>
      </w:pPr>
      <w:r>
        <w:rPr>
          <w:rFonts w:cs="Times New Roman"/>
          <w:color w:val="666666"/>
          <w:sz w:val="24"/>
          <w:szCs w:val="24"/>
          <w:lang w:val="hr-BA"/>
        </w:rPr>
        <w:t>Voditelj projekta: Leo Petrović</w:t>
      </w:r>
    </w:p>
    <w:p>
      <w:pPr>
        <w:pStyle w:val="Normal"/>
        <w:spacing w:before="0" w:after="80"/>
        <w:jc w:val="center"/>
        <w:rPr>
          <w:rFonts w:cs="Times New Roman"/>
          <w:color w:val="666666"/>
          <w:sz w:val="24"/>
          <w:szCs w:val="24"/>
          <w:lang w:val="hr-BA"/>
        </w:rPr>
      </w:pPr>
      <w:r>
        <w:rPr>
          <w:rFonts w:cs="Times New Roman"/>
          <w:color w:val="666666"/>
          <w:sz w:val="24"/>
          <w:szCs w:val="24"/>
          <w:lang w:val="hr-BA"/>
        </w:rPr>
        <w:t>Mostar, travanj 2026.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rFonts w:ascii="Times New Roman" w:hAnsi="Times New Roman" w:cs="Times New Roman"/>
              <w:sz w:val="24"/>
              <w:szCs w:val="24"/>
              <w:lang w:val="hr-BA"/>
            </w:rPr>
          </w:pPr>
          <w:r>
            <w:rPr>
              <w:rFonts w:cs="Times New Roman" w:ascii="Times New Roman" w:hAnsi="Times New Roman"/>
              <w:sz w:val="24"/>
              <w:szCs w:val="24"/>
              <w:lang w:val="hr-BA"/>
            </w:rPr>
            <w:t>S</w:t>
          </w:r>
          <w:r>
            <w:rPr>
              <w:rFonts w:cs="Times New Roman" w:ascii="Times New Roman" w:hAnsi="Times New Roman"/>
              <w:sz w:val="24"/>
              <w:szCs w:val="24"/>
              <w:lang w:val="hr-BA"/>
            </w:rPr>
            <w:t>adržaj</w:t>
          </w:r>
        </w:p>
        <w:p>
          <w:pPr>
            <w:pStyle w:val="TOC1"/>
            <w:tabs>
              <w:tab w:val="clear" w:pos="720"/>
              <w:tab w:val="right" w:pos="8656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webHidden/>
              <w:lang w:val="hr-BA"/>
            </w:rPr>
            <w:instrText xml:space="preserve"> TOC \z \o "1-3" \u \h</w:instrText>
          </w:r>
          <w:r>
            <w:rPr>
              <w:rStyle w:val="IndexLink"/>
              <w:webHidden/>
              <w:lang w:val="hr-BA"/>
            </w:rPr>
            <w:fldChar w:fldCharType="separate"/>
          </w:r>
          <w:hyperlink w:anchor="_Toc229862694">
            <w:r>
              <w:rPr>
                <w:rStyle w:val="IndexLink"/>
                <w:webHidden/>
                <w:lang w:val="hr-BA"/>
              </w:rPr>
              <w:t>1. Model procesa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_Toc229862694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56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695">
            <w:r>
              <w:rPr>
                <w:rStyle w:val="IndexLink"/>
                <w:webHidden/>
                <w:lang w:val="hr-BA"/>
              </w:rPr>
              <w:t>1.1. Dijagram toka podataka 0. razine – dijagram konteksta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_Toc229862695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56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696">
            <w:r>
              <w:rPr>
                <w:rStyle w:val="IndexLink"/>
                <w:webHidden/>
                <w:lang w:val="hr-BA"/>
              </w:rPr>
              <w:t>1.2. Dijagram toka podataka 1. razine – glavni procesi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_Toc229862696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56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697">
            <w:r>
              <w:rPr>
                <w:rStyle w:val="IndexLink"/>
                <w:webHidden/>
                <w:lang w:val="hr-BA"/>
              </w:rPr>
              <w:t>1.3. Dijagram toka podataka 2. razine – upravljanje zaduženjima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_Toc229862697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8656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698">
            <w:r>
              <w:rPr>
                <w:rStyle w:val="IndexLink"/>
                <w:webHidden/>
                <w:lang w:val="hr-BA"/>
              </w:rPr>
              <w:t>2. Dijagram dekompozicije funkcija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_Toc229862698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8656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699">
            <w:r>
              <w:rPr>
                <w:rStyle w:val="IndexLink"/>
                <w:rFonts w:cs="Times New Roman"/>
                <w:webHidden/>
                <w:lang w:val="hr-BA"/>
              </w:rPr>
              <w:t>3. Specifikacija zahtjeva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_Toc229862699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8656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00">
            <w:r>
              <w:rPr>
                <w:rStyle w:val="IndexLink"/>
                <w:webHidden/>
                <w:lang w:val="hr-BA"/>
              </w:rPr>
              <w:t>4. Poslovni zahtjevi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_Toc229862700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56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01">
            <w:r>
              <w:rPr>
                <w:rStyle w:val="IndexLink"/>
                <w:webHidden/>
                <w:lang w:val="hr-BA"/>
              </w:rPr>
              <w:t>4.1. Centralizirati i digitalizirati evidenciju inventara nošnje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_Toc229862701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56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02">
            <w:r>
              <w:rPr>
                <w:rStyle w:val="IndexLink"/>
                <w:webHidden/>
                <w:lang w:val="hr-BA"/>
              </w:rPr>
              <w:t>4.2. Smanjiti financijske gubitke uzrokovane gubitkom i oštećenjem komada nošnje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_Toc229862702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8656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03">
            <w:r>
              <w:rPr>
                <w:rStyle w:val="IndexLink"/>
                <w:webHidden/>
                <w:lang w:val="hr-BA"/>
              </w:rPr>
              <w:t>5. Korisnički zahtjevi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_Toc229862703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56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04">
            <w:r>
              <w:rPr>
                <w:rStyle w:val="IndexLink"/>
                <w:webHidden/>
                <w:lang w:val="hr-BA"/>
              </w:rPr>
              <w:t>5.1. Pregled i upravljanje inventarom nošnje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_Toc229862704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56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05">
            <w:r>
              <w:rPr>
                <w:rStyle w:val="IndexLink"/>
                <w:webHidden/>
                <w:lang w:val="hr-BA"/>
              </w:rPr>
              <w:t>5.2. Zaduženje i povrat komada nošnje po članu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_Toc229862705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56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06">
            <w:r>
              <w:rPr>
                <w:rStyle w:val="IndexLink"/>
                <w:webHidden/>
                <w:lang w:val="hr-BA"/>
              </w:rPr>
              <w:t>5.3. Praćenje statusa komada i primanje obavijesti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_Toc229862706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56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07">
            <w:r>
              <w:rPr>
                <w:rStyle w:val="IndexLink"/>
                <w:webHidden/>
                <w:lang w:val="hr-BA"/>
              </w:rPr>
              <w:t>5.4. Pregled potpune povijesti zaduženja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_Toc229862707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8656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08">
            <w:r>
              <w:rPr>
                <w:rStyle w:val="IndexLink"/>
                <w:webHidden/>
                <w:lang w:val="hr-BA"/>
              </w:rPr>
              <w:t>6. Funkcionalni zahtjevi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_Toc229862708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56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09">
            <w:r>
              <w:rPr>
                <w:rStyle w:val="IndexLink"/>
                <w:webHidden/>
                <w:lang w:val="hr-BA"/>
              </w:rPr>
              <w:t>6.1. Unos, uređivanje i brisanje komada nošnje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_Toc229862709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56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10">
            <w:r>
              <w:rPr>
                <w:rStyle w:val="IndexLink"/>
                <w:webHidden/>
                <w:lang w:val="hr-BA"/>
              </w:rPr>
              <w:t>6.2. Pretraživanje i filtriranje inventara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_Toc229862710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56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11">
            <w:r>
              <w:rPr>
                <w:rStyle w:val="IndexLink"/>
                <w:webHidden/>
                <w:lang w:val="hr-BA"/>
              </w:rPr>
              <w:t>6.3. Dodjela komada nošnje članu i evidencija povrata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_Toc229862711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56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12">
            <w:r>
              <w:rPr>
                <w:rStyle w:val="IndexLink"/>
                <w:webHidden/>
                <w:lang w:val="hr-BA"/>
              </w:rPr>
              <w:t>6.4. Automatska upozorenja pri prekoračenju roka i promjeni kritičnog statusa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_Toc229862712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56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13">
            <w:r>
              <w:rPr>
                <w:rStyle w:val="IndexLink"/>
                <w:webHidden/>
                <w:lang w:val="hr-BA"/>
              </w:rPr>
              <w:t>6.5. Promjena statusa komada nošnje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_Toc229862713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56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14">
            <w:r>
              <w:rPr>
                <w:rStyle w:val="IndexLink"/>
                <w:webHidden/>
                <w:lang w:val="hr-BA"/>
              </w:rPr>
              <w:t>6.6. Pregled i izvoz povijesti zaduženja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_Toc229862714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8656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15">
            <w:r>
              <w:rPr>
                <w:rStyle w:val="IndexLink"/>
                <w:webHidden/>
                <w:lang w:val="hr-BA"/>
              </w:rPr>
              <w:t>7. Nefunkcionalni zahtjevi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_Toc229862715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56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16">
            <w:r>
              <w:rPr>
                <w:rStyle w:val="IndexLink"/>
                <w:webHidden/>
                <w:lang w:val="hr-BA"/>
              </w:rPr>
              <w:t>7.1. Jednostavnost korištenja bez IT znanja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_Toc229862716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8656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17">
            <w:r>
              <w:rPr>
                <w:rStyle w:val="IndexLink"/>
                <w:webHidden/>
                <w:lang w:val="hr-BA"/>
              </w:rPr>
              <w:t>7.2. Responzivnost sučelja i minimalni troškovi hostinga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_Toc229862717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8656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718">
            <w:r>
              <w:rPr>
                <w:rStyle w:val="IndexLink"/>
                <w:webHidden/>
                <w:lang w:val="hr-BA"/>
              </w:rPr>
              <w:t>8. Model događaja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_Toc229862718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>
              <w:rFonts w:cs="Times New Roman"/>
              <w:b/>
              <w:bCs/>
              <w:lang w:val="hr-BA"/>
            </w:rPr>
          </w:pPr>
          <w:r>
            <w:rPr>
              <w:rFonts w:cs="Times New Roman"/>
              <w:b/>
              <w:bCs/>
              <w:lang w:val="hr-BA"/>
            </w:rPr>
          </w:r>
          <w:r>
            <w:rPr>
              <w:rFonts w:cs="Times New Roman"/>
              <w:b/>
              <w:bCs/>
              <w:lang w:val="hr-BA"/>
            </w:rPr>
            <w:fldChar w:fldCharType="end"/>
          </w:r>
        </w:p>
      </w:sdtContent>
    </w:sdt>
    <w:p>
      <w:pPr>
        <w:pStyle w:val="Normal"/>
        <w:rPr>
          <w:rFonts w:cs="Times New Roman"/>
          <w:lang w:val="hr-BA"/>
        </w:rPr>
      </w:pPr>
      <w:r>
        <w:rPr>
          <w:rFonts w:cs="Times New Roman"/>
          <w:lang w:val="hr-BA"/>
        </w:rPr>
      </w:r>
      <w:r>
        <w:br w:type="page"/>
      </w:r>
    </w:p>
    <w:p>
      <w:pPr>
        <w:pStyle w:val="Heading1"/>
        <w:spacing w:before="0" w:after="160"/>
        <w:rPr>
          <w:lang w:val="hr-BA"/>
        </w:rPr>
      </w:pPr>
      <w:bookmarkStart w:id="0" w:name="_Toc229862694"/>
      <w:r>
        <w:rPr>
          <w:lang w:val="hr-BA"/>
        </w:rPr>
        <w:t>1. Model procesa</w:t>
      </w:r>
      <w:bookmarkEnd w:id="0"/>
    </w:p>
    <w:p>
      <w:pPr>
        <w:pStyle w:val="Normal"/>
        <w:rPr>
          <w:lang w:val="hr-BA"/>
        </w:rPr>
      </w:pPr>
      <w:r>
        <w:rPr>
          <w:lang w:val="hr-BA"/>
        </w:rPr>
        <w:t>Legenda:</w:t>
      </w:r>
    </w:p>
    <w:p>
      <w:pPr>
        <w:pStyle w:val="ListParagraph"/>
        <w:numPr>
          <w:ilvl w:val="0"/>
          <w:numId w:val="1"/>
        </w:numPr>
        <w:rPr>
          <w:lang w:val="hr-BA"/>
        </w:rPr>
      </w:pPr>
      <w:r>
        <w:rPr>
          <w:lang w:val="hr-BA"/>
        </w:rPr>
        <w:t>Strelica – tok podataka</w:t>
      </w:r>
    </w:p>
    <w:p>
      <w:pPr>
        <w:pStyle w:val="ListParagraph"/>
        <w:numPr>
          <w:ilvl w:val="0"/>
          <w:numId w:val="1"/>
        </w:numPr>
        <w:rPr>
          <w:lang w:val="hr-BA"/>
        </w:rPr>
      </w:pPr>
      <w:r>
        <w:rPr>
          <w:lang w:val="hr-BA"/>
        </w:rPr>
        <w:t>Pravokutnik – korisnik (vanjski entitet)</w:t>
      </w:r>
    </w:p>
    <w:p>
      <w:pPr>
        <w:pStyle w:val="ListParagraph"/>
        <w:numPr>
          <w:ilvl w:val="0"/>
          <w:numId w:val="1"/>
        </w:numPr>
        <w:rPr>
          <w:lang w:val="hr-BA"/>
        </w:rPr>
      </w:pPr>
      <w:r>
        <w:rPr>
          <w:lang w:val="hr-BA"/>
        </w:rPr>
        <w:t>Zaobljeni pravokutnik – proces</w:t>
      </w:r>
    </w:p>
    <w:p>
      <w:pPr>
        <w:pStyle w:val="ListParagraph"/>
        <w:numPr>
          <w:ilvl w:val="0"/>
          <w:numId w:val="1"/>
        </w:numPr>
        <w:rPr>
          <w:lang w:val="hr-BA"/>
        </w:rPr>
      </w:pPr>
      <w:r>
        <w:rPr>
          <w:lang w:val="hr-BA"/>
        </w:rPr>
        <w:t>Dvije paralelne linije – pohrana podataka</w:t>
      </w:r>
    </w:p>
    <w:p>
      <w:pPr>
        <w:pStyle w:val="Normal"/>
        <w:rPr>
          <w:lang w:val="hr-BA"/>
        </w:rPr>
      </w:pPr>
      <w:r>
        <w:rPr>
          <w:lang w:val="hr-BA"/>
        </w:rPr>
      </w:r>
    </w:p>
    <w:p>
      <w:pPr>
        <w:pStyle w:val="Heading2"/>
        <w:rPr>
          <w:lang w:val="hr-BA"/>
        </w:rPr>
      </w:pPr>
      <w:bookmarkStart w:id="1" w:name="_Toc229862695"/>
      <w:r>
        <w:rPr>
          <w:lang w:val="hr-BA"/>
        </w:rPr>
        <w:t>1.1. Dijagram toka podataka 0. razine – dijagram konteksta</w:t>
      </w:r>
      <w:bookmarkEnd w:id="1"/>
    </w:p>
    <w:p>
      <w:pPr>
        <w:pStyle w:val="Normal"/>
        <w:keepNext w:val="true"/>
        <w:rPr>
          <w:lang w:val="hr-BA"/>
        </w:rPr>
      </w:pPr>
      <w:r>
        <w:rPr/>
        <w:drawing>
          <wp:inline distT="0" distB="0" distL="0" distR="0">
            <wp:extent cx="5499100" cy="234315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34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>
          <w:lang w:val="hr-BA"/>
        </w:rPr>
      </w:pPr>
      <w:r>
        <w:rPr>
          <w:lang w:val="hr-BA"/>
        </w:rPr>
        <w:t xml:space="preserve">Slika </w:t>
      </w:r>
      <w:r>
        <w:rPr>
          <w:lang w:val="hr-BA"/>
        </w:rPr>
        <w:fldChar w:fldCharType="begin"/>
      </w:r>
      <w:r>
        <w:rPr>
          <w:lang w:val="hr-BA"/>
        </w:rPr>
        <w:instrText xml:space="preserve"> SEQ Slika \* ARABIC </w:instrText>
      </w:r>
      <w:r>
        <w:rPr>
          <w:lang w:val="hr-BA"/>
        </w:rPr>
        <w:fldChar w:fldCharType="separate"/>
      </w:r>
      <w:r>
        <w:rPr>
          <w:lang w:val="hr-BA"/>
        </w:rPr>
        <w:t>2</w:t>
      </w:r>
      <w:r>
        <w:rPr>
          <w:lang w:val="hr-BA"/>
        </w:rPr>
        <w:fldChar w:fldCharType="end"/>
      </w:r>
      <w:r>
        <w:rPr>
          <w:lang w:val="hr-BA"/>
        </w:rPr>
        <w:t xml:space="preserve"> - Dijagram konteksta (razina 0): KUDTrack i vanjski entiteti</w:t>
      </w:r>
    </w:p>
    <w:p>
      <w:pPr>
        <w:pStyle w:val="Heading2"/>
        <w:rPr>
          <w:lang w:val="hr-BA"/>
        </w:rPr>
      </w:pPr>
      <w:bookmarkStart w:id="2" w:name="_Toc229862696"/>
      <w:r>
        <w:rPr>
          <w:lang w:val="hr-BA"/>
        </w:rPr>
        <w:t>1.2. Dijagram toka podataka 1. razine – glavni procesi</w:t>
      </w:r>
      <w:bookmarkEnd w:id="2"/>
    </w:p>
    <w:p>
      <w:pPr>
        <w:pStyle w:val="Normal"/>
        <w:keepNext w:val="true"/>
        <w:rPr>
          <w:lang w:val="hr-BA"/>
        </w:rPr>
      </w:pPr>
      <w:r>
        <w:rPr/>
        <w:drawing>
          <wp:inline distT="0" distB="0" distL="0" distR="0">
            <wp:extent cx="5499100" cy="262255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62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>
          <w:lang w:val="hr-BA"/>
        </w:rPr>
      </w:pPr>
      <w:r>
        <w:rPr>
          <w:lang w:val="hr-BA"/>
        </w:rPr>
        <w:t xml:space="preserve">Slika </w:t>
      </w:r>
      <w:r>
        <w:rPr>
          <w:lang w:val="hr-BA"/>
        </w:rPr>
        <w:fldChar w:fldCharType="begin"/>
      </w:r>
      <w:r>
        <w:rPr>
          <w:lang w:val="hr-BA"/>
        </w:rPr>
        <w:instrText xml:space="preserve"> SEQ Slika \* ARABIC </w:instrText>
      </w:r>
      <w:r>
        <w:rPr>
          <w:lang w:val="hr-BA"/>
        </w:rPr>
        <w:fldChar w:fldCharType="separate"/>
      </w:r>
      <w:r>
        <w:rPr>
          <w:lang w:val="hr-BA"/>
        </w:rPr>
        <w:t>3</w:t>
      </w:r>
      <w:r>
        <w:rPr>
          <w:lang w:val="hr-BA"/>
        </w:rPr>
        <w:fldChar w:fldCharType="end"/>
      </w:r>
      <w:r>
        <w:rPr>
          <w:lang w:val="hr-BA"/>
        </w:rPr>
        <w:t xml:space="preserve"> - Dijagram toka podataka razine 1: Četiri glavna procesa KUDTrack sustava</w:t>
      </w:r>
    </w:p>
    <w:p>
      <w:pPr>
        <w:pStyle w:val="Normal"/>
        <w:rPr>
          <w:lang w:val="hr-BA"/>
        </w:rPr>
      </w:pPr>
      <w:r>
        <w:rPr>
          <w:lang w:val="hr-BA"/>
        </w:rPr>
      </w:r>
      <w:r>
        <w:br w:type="page"/>
      </w:r>
    </w:p>
    <w:p>
      <w:pPr>
        <w:pStyle w:val="Heading2"/>
        <w:spacing w:before="0" w:after="120"/>
        <w:rPr>
          <w:lang w:val="hr-BA"/>
        </w:rPr>
      </w:pPr>
      <w:bookmarkStart w:id="3" w:name="_Toc229862697"/>
      <w:r>
        <w:rPr>
          <w:lang w:val="hr-BA"/>
        </w:rPr>
        <w:t>1.3. Dijagram toka podataka 2. razine – upravljanje zaduženjima</w:t>
      </w:r>
      <w:bookmarkEnd w:id="3"/>
    </w:p>
    <w:p>
      <w:pPr>
        <w:pStyle w:val="Normal"/>
        <w:keepNext w:val="true"/>
        <w:rPr>
          <w:lang w:val="hr-BA"/>
        </w:rPr>
      </w:pPr>
      <w:r>
        <w:rPr/>
        <w:drawing>
          <wp:inline distT="0" distB="0" distL="0" distR="0">
            <wp:extent cx="5499100" cy="2324100"/>
            <wp:effectExtent l="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32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>
          <w:lang w:val="hr-BA"/>
        </w:rPr>
      </w:pPr>
      <w:r>
        <w:rPr>
          <w:lang w:val="hr-BA"/>
        </w:rPr>
        <w:t xml:space="preserve">Slika </w:t>
      </w:r>
      <w:r>
        <w:rPr>
          <w:lang w:val="hr-BA"/>
        </w:rPr>
        <w:fldChar w:fldCharType="begin"/>
      </w:r>
      <w:r>
        <w:rPr>
          <w:lang w:val="hr-BA"/>
        </w:rPr>
        <w:instrText xml:space="preserve"> SEQ Slika \* ARABIC </w:instrText>
      </w:r>
      <w:r>
        <w:rPr>
          <w:lang w:val="hr-BA"/>
        </w:rPr>
        <w:fldChar w:fldCharType="separate"/>
      </w:r>
      <w:r>
        <w:rPr>
          <w:lang w:val="hr-BA"/>
        </w:rPr>
        <w:t>4</w:t>
      </w:r>
      <w:r>
        <w:rPr>
          <w:lang w:val="hr-BA"/>
        </w:rPr>
        <w:fldChar w:fldCharType="end"/>
      </w:r>
      <w:r>
        <w:rPr>
          <w:lang w:val="hr-BA"/>
        </w:rPr>
        <w:t xml:space="preserve"> - Dijagram toka podataka razine 2: Dekompozicija procesa P2 - Upravljanje zaduženjima</w:t>
      </w:r>
    </w:p>
    <w:p>
      <w:pPr>
        <w:pStyle w:val="Heading1"/>
        <w:rPr>
          <w:lang w:val="hr-BA"/>
        </w:rPr>
      </w:pPr>
      <w:bookmarkStart w:id="4" w:name="_Toc229862698"/>
      <w:r>
        <w:rPr>
          <w:lang w:val="hr-BA"/>
        </w:rPr>
        <w:t>2. Dijagram dekompozicije funkcija</w:t>
      </w:r>
      <w:bookmarkEnd w:id="4"/>
    </w:p>
    <w:p>
      <w:pPr>
        <w:pStyle w:val="Normal"/>
        <w:keepNext w:val="true"/>
        <w:rPr>
          <w:lang w:val="hr-BA"/>
        </w:rPr>
      </w:pPr>
      <w:r>
        <w:rPr/>
        <w:drawing>
          <wp:inline distT="0" distB="0" distL="0" distR="0">
            <wp:extent cx="5525770" cy="282067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770" cy="2820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>
          <w:lang w:val="hr-BA"/>
        </w:rPr>
      </w:pPr>
      <w:r>
        <w:rPr>
          <w:lang w:val="hr-BA"/>
        </w:rPr>
        <w:t xml:space="preserve">Slika </w:t>
      </w:r>
      <w:r>
        <w:rPr>
          <w:lang w:val="hr-BA"/>
        </w:rPr>
        <w:fldChar w:fldCharType="begin"/>
      </w:r>
      <w:r>
        <w:rPr>
          <w:lang w:val="hr-BA"/>
        </w:rPr>
        <w:instrText xml:space="preserve"> SEQ Slika \* ARABIC </w:instrText>
      </w:r>
      <w:r>
        <w:rPr>
          <w:lang w:val="hr-BA"/>
        </w:rPr>
        <w:fldChar w:fldCharType="separate"/>
      </w:r>
      <w:r>
        <w:rPr>
          <w:lang w:val="hr-BA"/>
        </w:rPr>
        <w:t>1</w:t>
      </w:r>
      <w:r>
        <w:rPr>
          <w:lang w:val="hr-BA"/>
        </w:rPr>
        <w:fldChar w:fldCharType="end"/>
      </w:r>
      <w:r>
        <w:rPr>
          <w:lang w:val="hr-BA"/>
        </w:rPr>
        <w:t xml:space="preserve"> - Dijagram dekompozicije funkcija KUDTrack</w:t>
      </w:r>
    </w:p>
    <w:p>
      <w:pPr>
        <w:pStyle w:val="Heading1"/>
        <w:rPr>
          <w:rFonts w:cs="Times New Roman"/>
          <w:lang w:val="hr-BA"/>
        </w:rPr>
      </w:pPr>
      <w:bookmarkStart w:id="5" w:name="_Toc229862699"/>
      <w:r>
        <w:rPr>
          <w:rFonts w:cs="Times New Roman"/>
          <w:lang w:val="hr-BA"/>
        </w:rPr>
        <w:t>3. Specifikacija zahtjeva</w:t>
      </w:r>
      <w:bookmarkEnd w:id="5"/>
    </w:p>
    <w:p>
      <w:pPr>
        <w:pStyle w:val="Normal"/>
        <w:rPr>
          <w:lang w:val="hr-BA"/>
        </w:rPr>
      </w:pPr>
      <w:r>
        <w:rPr>
          <w:lang w:val="hr-BA"/>
        </w:rPr>
        <w:t>Na temelju zapisnika sastavljenog nakon intervjua s predsjednicom skupštine KUD „LOLA“ Sarajevo, reprezentativnih dokumenata o organizaciji te surogatnih sustava (Sortly i Zoho), identificirani su i formulirani zahtjevi razvrstani na poslovne, korisničke, funkcionalne i nefunkcionalne zahtjeve.</w:t>
      </w:r>
    </w:p>
    <w:p>
      <w:pPr>
        <w:pStyle w:val="Heading1"/>
        <w:rPr>
          <w:lang w:val="hr-BA"/>
        </w:rPr>
      </w:pPr>
      <w:bookmarkStart w:id="6" w:name="_Toc229862700"/>
      <w:r>
        <w:rPr>
          <w:lang w:val="hr-BA"/>
        </w:rPr>
        <w:t>4. Poslovni zahtjevi</w:t>
      </w:r>
      <w:bookmarkEnd w:id="6"/>
    </w:p>
    <w:p>
      <w:pPr>
        <w:pStyle w:val="Heading2"/>
        <w:rPr>
          <w:lang w:val="hr-BA"/>
        </w:rPr>
      </w:pPr>
      <w:bookmarkStart w:id="7" w:name="_Toc229862701"/>
      <w:r>
        <w:rPr>
          <w:lang w:val="hr-BA"/>
        </w:rPr>
        <w:t>4.1. Centralizirati i digitalizirati evidenciju inventara nošnje</w:t>
      </w:r>
      <w:bookmarkEnd w:id="7"/>
    </w:p>
    <w:p>
      <w:pPr>
        <w:pStyle w:val="Normal"/>
        <w:rPr>
          <w:lang w:val="hr-BA"/>
        </w:rPr>
      </w:pPr>
      <w:r>
        <w:rPr>
          <w:lang w:val="hr-BA"/>
        </w:rPr>
        <w:t>KUD „LOLA“ trenutno vodi evidenciju isključivo ručno – kombinacijom bilježnica i nepovezanih Excel tablica koje se ne ažuriraju redovito. Informacijski sustav mora na jednom mjestu pohraniti podatke o svim komadima nošnje s jedinstvenim identifikatorom i skupom meta-podataka (vrsta, veličina, stanje, fotografija), čime se eliminira raspršenost podataka i stvara pouzdana osnova za upravljanje inventarom.</w:t>
      </w:r>
    </w:p>
    <w:p>
      <w:pPr>
        <w:pStyle w:val="Heading2"/>
        <w:rPr>
          <w:lang w:val="hr-BA"/>
        </w:rPr>
      </w:pPr>
      <w:bookmarkStart w:id="8" w:name="_Toc229862702"/>
      <w:r>
        <w:rPr>
          <w:lang w:val="hr-BA"/>
        </w:rPr>
        <w:t>4.2. Smanjiti financijske gubitke uzrokovane gubitkom i oštećenjem komada nošnje</w:t>
      </w:r>
      <w:bookmarkEnd w:id="8"/>
    </w:p>
    <w:p>
      <w:pPr>
        <w:pStyle w:val="Normal"/>
        <w:rPr>
          <w:lang w:val="hr-BA"/>
        </w:rPr>
      </w:pPr>
      <w:r>
        <w:rPr>
          <w:lang w:val="hr-BA"/>
        </w:rPr>
        <w:t>Procijenjeno je da se svake sezone trajno izgubi ili ošteti 10–15 komada nošnje ukupne vrijednosti inventara koja prelazi 30 000 KM. Sustav mora automatski pratiti zaduženja i generirati upozorenja pri prekoračenju roka povrata ili promjeni statusa komada u kritično, čime se administratorima omogućuje pravovremena reakcija i smanjenje financijskog gubitka.</w:t>
      </w:r>
    </w:p>
    <w:p>
      <w:pPr>
        <w:pStyle w:val="Heading1"/>
        <w:rPr>
          <w:lang w:val="hr-BA"/>
        </w:rPr>
      </w:pPr>
      <w:bookmarkStart w:id="9" w:name="_Toc229862703"/>
      <w:r>
        <w:rPr>
          <w:lang w:val="hr-BA"/>
        </w:rPr>
        <w:t>5. Korisnički zahtjevi</w:t>
      </w:r>
      <w:bookmarkEnd w:id="9"/>
    </w:p>
    <w:p>
      <w:pPr>
        <w:pStyle w:val="Heading2"/>
        <w:rPr>
          <w:lang w:val="hr-BA"/>
        </w:rPr>
      </w:pPr>
      <w:bookmarkStart w:id="10" w:name="_Toc229862704"/>
      <w:r>
        <w:rPr>
          <w:lang w:val="hr-BA"/>
        </w:rPr>
        <w:t>5.1. Pregled i upravljanje inventarom nošnje</w:t>
      </w:r>
      <w:bookmarkEnd w:id="10"/>
    </w:p>
    <w:p>
      <w:pPr>
        <w:pStyle w:val="Normal"/>
        <w:rPr>
          <w:lang w:val="hr-BA"/>
        </w:rPr>
      </w:pPr>
      <w:r>
        <w:rPr>
          <w:lang w:val="hr-BA"/>
        </w:rPr>
        <w:t>Administrator može pregledati cjelokupni popis komada nošnje te ih filtrirati po vrsti, veličini, statusu i kategoriji. Sustav mu omogućuje unos novog komada s fotografijom i meta-podacima, uređivanje postojećih podataka te brisanje komada koji više nije u upotrebi.</w:t>
      </w:r>
    </w:p>
    <w:p>
      <w:pPr>
        <w:pStyle w:val="Heading2"/>
        <w:rPr>
          <w:lang w:val="hr-BA"/>
        </w:rPr>
      </w:pPr>
      <w:bookmarkStart w:id="11" w:name="_Toc229862705"/>
      <w:r>
        <w:rPr>
          <w:lang w:val="hr-BA"/>
        </w:rPr>
        <w:t>5.2. Zaduženje i povrat komada nošnje po članu</w:t>
      </w:r>
      <w:bookmarkEnd w:id="11"/>
    </w:p>
    <w:p>
      <w:pPr>
        <w:pStyle w:val="Normal"/>
        <w:rPr>
          <w:lang w:val="hr-BA"/>
        </w:rPr>
      </w:pPr>
      <w:r>
        <w:rPr>
          <w:lang w:val="hr-BA"/>
        </w:rPr>
        <w:t>Administrator može dodijeliti jedan ili više komada nošnje određenom članu, postaviti očekivani datum povrata te evidentirati stvarni povrat komada. Sustav u svakom trenutku prikazuje koja je nošnja zadužena, kome je dodijeljena i od kada, uz mogućnost pregleda aktivnih zaduženja po članu i po komadu.</w:t>
      </w:r>
    </w:p>
    <w:p>
      <w:pPr>
        <w:pStyle w:val="Heading2"/>
        <w:rPr>
          <w:lang w:val="hr-BA"/>
        </w:rPr>
      </w:pPr>
      <w:bookmarkStart w:id="12" w:name="_Toc229862706"/>
      <w:r>
        <w:rPr>
          <w:lang w:val="hr-BA"/>
        </w:rPr>
        <w:t>5.3. Praćenje statusa komada i primanje obavijesti</w:t>
      </w:r>
      <w:bookmarkEnd w:id="12"/>
    </w:p>
    <w:p>
      <w:pPr>
        <w:pStyle w:val="Normal"/>
        <w:rPr>
          <w:lang w:val="hr-BA"/>
        </w:rPr>
      </w:pPr>
      <w:r>
        <w:rPr>
          <w:lang w:val="hr-BA"/>
        </w:rPr>
        <w:t>Administrator može u svakom trenutku promijeniti status pojedinog komada nošnje (slobodno, zaduženo, na popravku, na čišćenju, izgubljeno). Sustav automatski obavješćuje administratore putem e-maila ili in-app obavijesti kada komad nije vraćen u očekivanom roku ili kada mu je status promijenjen u kritično stanje.</w:t>
      </w:r>
    </w:p>
    <w:p>
      <w:pPr>
        <w:pStyle w:val="Heading2"/>
        <w:rPr>
          <w:lang w:val="hr-BA"/>
        </w:rPr>
      </w:pPr>
      <w:bookmarkStart w:id="13" w:name="_Toc229862707"/>
      <w:r>
        <w:rPr>
          <w:lang w:val="hr-BA"/>
        </w:rPr>
        <w:t>5.4. Pregled potpune povijesti zaduženja</w:t>
      </w:r>
      <w:bookmarkEnd w:id="13"/>
    </w:p>
    <w:p>
      <w:pPr>
        <w:pStyle w:val="Normal"/>
        <w:rPr>
          <w:lang w:val="hr-BA"/>
        </w:rPr>
      </w:pPr>
      <w:r>
        <w:rPr>
          <w:lang w:val="hr-BA"/>
        </w:rPr>
        <w:t>Administrator može pregledati sva prošla zaduženja za bilo koji komad nošnje ili člana, s informacijom o datumima zaduženja i povrata te eventualnim statusnim promjenama. Ovaj pregled služi kao osnova za utvrđivanje odgovornosti u slučaju gubitka ili oštećenja.</w:t>
      </w:r>
    </w:p>
    <w:p>
      <w:pPr>
        <w:pStyle w:val="Heading1"/>
        <w:rPr>
          <w:b w:val="false"/>
          <w:lang w:val="hr-BA"/>
        </w:rPr>
      </w:pPr>
      <w:bookmarkStart w:id="14" w:name="_Toc229862708"/>
      <w:r>
        <w:rPr>
          <w:lang w:val="hr-BA"/>
        </w:rPr>
        <w:t>6. Funkcionalni zahtjevi</w:t>
      </w:r>
      <w:bookmarkEnd w:id="14"/>
    </w:p>
    <w:p>
      <w:pPr>
        <w:pStyle w:val="Heading2"/>
        <w:rPr>
          <w:lang w:val="hr-BA"/>
        </w:rPr>
      </w:pPr>
      <w:bookmarkStart w:id="15" w:name="_Toc229862709"/>
      <w:r>
        <w:rPr>
          <w:lang w:val="hr-BA"/>
        </w:rPr>
        <w:t>6.1. Unos, uređivanje i brisanje komada nošnje</w:t>
      </w:r>
      <w:bookmarkEnd w:id="15"/>
    </w:p>
    <w:p>
      <w:pPr>
        <w:pStyle w:val="Normal"/>
        <w:rPr>
          <w:lang w:val="hr-BA"/>
        </w:rPr>
      </w:pPr>
      <w:r>
        <w:rPr>
          <w:lang w:val="hr-BA"/>
        </w:rPr>
        <w:t>Sustav mora omogućiti administratoru dodavanje novog komada nošnje s podacima: jedinstveni identifikator, naziv, vrsta, kategorija, veličina, stanje i fotografija. Postojeće podatke moguće je urediti, a komad koji više nije u inventaru može se obrisati. Brisanje nije moguće dok je komad aktivo zadužen.</w:t>
      </w:r>
    </w:p>
    <w:p>
      <w:pPr>
        <w:pStyle w:val="Heading2"/>
        <w:rPr>
          <w:lang w:val="hr-BA"/>
        </w:rPr>
      </w:pPr>
      <w:bookmarkStart w:id="16" w:name="_Toc229862710"/>
      <w:r>
        <w:rPr>
          <w:lang w:val="hr-BA"/>
        </w:rPr>
        <w:t>6.2. Pretraživanje i filtriranje inventara</w:t>
      </w:r>
      <w:bookmarkEnd w:id="16"/>
    </w:p>
    <w:p>
      <w:pPr>
        <w:pStyle w:val="Normal"/>
        <w:rPr>
          <w:lang w:val="hr-BA"/>
        </w:rPr>
      </w:pPr>
      <w:r>
        <w:rPr>
          <w:lang w:val="hr-BA"/>
        </w:rPr>
        <w:t>Sustav mora omogućiti pretragu inventara po nazivu te filtriranje po vrsti, kategoriji, veličini i statusu komada. Rezultati pretrage prikazuju se u obliku popisa s ključnim informacijama, uz mogućnost otvaranja detalja pojedinog komada.</w:t>
      </w:r>
    </w:p>
    <w:p>
      <w:pPr>
        <w:pStyle w:val="Heading2"/>
        <w:rPr>
          <w:lang w:val="hr-BA"/>
        </w:rPr>
      </w:pPr>
      <w:bookmarkStart w:id="17" w:name="_Toc229862711"/>
      <w:r>
        <w:rPr>
          <w:lang w:val="hr-BA"/>
        </w:rPr>
        <w:t>6.3. Dodjela komada nošnje članu i evidencija povrata</w:t>
      </w:r>
      <w:bookmarkEnd w:id="17"/>
    </w:p>
    <w:p>
      <w:pPr>
        <w:pStyle w:val="Normal"/>
        <w:rPr>
          <w:lang w:val="hr-BA"/>
        </w:rPr>
      </w:pPr>
      <w:r>
        <w:rPr>
          <w:lang w:val="hr-BA"/>
        </w:rPr>
        <w:t>Sustav mora omogućiti odabir jednog ili više komada inventara i njihovo dodjeljivanje određenom članu KUD-a, uz upis datuma zaduženja i očekivanog datuma povrata. Evidencija povrata obavlja se promjenom statusa zaduženja uz automatski upis stvarnog datuma povrata.</w:t>
      </w:r>
    </w:p>
    <w:p>
      <w:pPr>
        <w:pStyle w:val="Heading2"/>
        <w:rPr>
          <w:lang w:val="hr-BA"/>
        </w:rPr>
      </w:pPr>
      <w:bookmarkStart w:id="18" w:name="_Toc229862712"/>
      <w:r>
        <w:rPr>
          <w:lang w:val="hr-BA"/>
        </w:rPr>
        <w:t>6.4. Automatska upozorenja pri prekoračenju roka i promjeni kritičnog statusa</w:t>
      </w:r>
      <w:bookmarkEnd w:id="18"/>
    </w:p>
    <w:p>
      <w:pPr>
        <w:pStyle w:val="Normal"/>
        <w:rPr>
          <w:lang w:val="hr-BA"/>
        </w:rPr>
      </w:pPr>
      <w:r>
        <w:rPr>
          <w:lang w:val="hr-BA"/>
        </w:rPr>
        <w:t>Sustav mora svakodnevno provjeravati rokove povrata te slati e-mail obavijest administratoru za svaki komad koji nije vraćen u predviđenom roku. Jednaka obavijest mora se poslati i kada administrator promijeni status komada u „izgubljeno“ ili „oštećeno“.</w:t>
      </w:r>
    </w:p>
    <w:p>
      <w:pPr>
        <w:pStyle w:val="Heading2"/>
        <w:rPr>
          <w:lang w:val="hr-BA"/>
        </w:rPr>
      </w:pPr>
      <w:bookmarkStart w:id="19" w:name="_Toc229862713"/>
      <w:r>
        <w:rPr>
          <w:lang w:val="hr-BA"/>
        </w:rPr>
        <w:t>6.5. Promjena statusa komada nošnje</w:t>
      </w:r>
      <w:bookmarkEnd w:id="19"/>
    </w:p>
    <w:p>
      <w:pPr>
        <w:pStyle w:val="Normal"/>
        <w:rPr>
          <w:lang w:val="hr-BA"/>
        </w:rPr>
      </w:pPr>
      <w:r>
        <w:rPr>
          <w:lang w:val="hr-BA"/>
        </w:rPr>
        <w:t>Sustav mora administratoru omogućiti ručnu promjenu statusa svakog komada nošnje. Dostupni statusi su: slobodno, zaduženo, na popravku, na čišćenju i izgubljeno. Svaka promjena statusa bilježi se u povijesti komada s datumom i korisnikom koji je promjenu napravio.</w:t>
      </w:r>
    </w:p>
    <w:p>
      <w:pPr>
        <w:pStyle w:val="Heading2"/>
        <w:rPr>
          <w:lang w:val="hr-BA"/>
        </w:rPr>
      </w:pPr>
      <w:bookmarkStart w:id="20" w:name="_Toc229862714"/>
      <w:r>
        <w:rPr>
          <w:lang w:val="hr-BA"/>
        </w:rPr>
        <w:t>6.6. Pregled i izvoz povijesti zaduženja</w:t>
      </w:r>
      <w:bookmarkEnd w:id="20"/>
    </w:p>
    <w:p>
      <w:pPr>
        <w:pStyle w:val="Normal"/>
        <w:rPr>
          <w:lang w:val="hr-BA"/>
        </w:rPr>
      </w:pPr>
      <w:r>
        <w:rPr>
          <w:lang w:val="hr-BA"/>
        </w:rPr>
        <w:t>Sustav mora administratoru pružiti pregled cjelokupne povijesti zaduženja, mogućnost pregleda po članu ili po komadu nošnje te mogućnost izvoza popisa zaduženja u standardnom formatu (npr. CSV ili PDF). Svaki zapis sadrži podatke o članu, komadu, datumima zaduženja i povrata te statusu.</w:t>
      </w:r>
    </w:p>
    <w:p>
      <w:pPr>
        <w:pStyle w:val="Heading1"/>
        <w:rPr>
          <w:lang w:val="hr-BA"/>
        </w:rPr>
      </w:pPr>
      <w:bookmarkStart w:id="21" w:name="_Toc229862715"/>
      <w:r>
        <w:rPr>
          <w:lang w:val="hr-BA"/>
        </w:rPr>
        <w:t>7. Nefunkcionalni zahtjevi</w:t>
      </w:r>
      <w:bookmarkEnd w:id="21"/>
    </w:p>
    <w:p>
      <w:pPr>
        <w:pStyle w:val="Heading2"/>
        <w:rPr>
          <w:lang w:val="hr-BA"/>
        </w:rPr>
      </w:pPr>
      <w:bookmarkStart w:id="22" w:name="_Toc229862716"/>
      <w:r>
        <w:rPr>
          <w:lang w:val="hr-BA"/>
        </w:rPr>
        <w:t>7.1. Jednostavnost korištenja bez IT znanja</w:t>
      </w:r>
      <w:bookmarkEnd w:id="22"/>
    </w:p>
    <w:p>
      <w:pPr>
        <w:pStyle w:val="Normal"/>
        <w:rPr>
          <w:lang w:val="hr-BA"/>
        </w:rPr>
      </w:pPr>
      <w:r>
        <w:rPr>
          <w:lang w:val="hr-BA"/>
        </w:rPr>
        <w:t>Sustav mora biti intuitivan i upotrebljiv bez posebne IT edukacije, s obzirom da KUD ne raspolaže IT osobom. Sve funkcionalnosti pristupačne su putem grafičkog sučelja, a administratori mogu obavljati svakodnevne zadatke (zaduženje, pregled statusa, evidencija povrata) u najviše nekoliko koraka. Korisnička dokumentacija mora biti isporučena uz sustav.</w:t>
      </w:r>
    </w:p>
    <w:p>
      <w:pPr>
        <w:pStyle w:val="Heading2"/>
        <w:rPr>
          <w:lang w:val="hr-BA"/>
        </w:rPr>
      </w:pPr>
      <w:bookmarkStart w:id="23" w:name="_Toc229862717"/>
      <w:r>
        <w:rPr>
          <w:lang w:val="hr-BA"/>
        </w:rPr>
        <w:t>7.2. Responzivnost sučelja i minimalni troškovi hostinga</w:t>
      </w:r>
      <w:bookmarkEnd w:id="23"/>
    </w:p>
    <w:p>
      <w:pPr>
        <w:pStyle w:val="Normal"/>
        <w:rPr>
          <w:lang w:val="hr-BA"/>
        </w:rPr>
      </w:pPr>
      <w:r>
        <w:rPr>
          <w:lang w:val="hr-BA"/>
        </w:rPr>
        <w:t>Web aplikacija mora biti responzivna i u potpunosti upotrebljiva na mobilnim uređajima i tabletima, bez potrebe za zasebnom mobilnom aplikacijom. Godišnji troškovi hostinga moraju ostati u okvirima nekoliko stotina konvertibilnih maraka, što zahtijeva optimizaciju odabira infrastrukture i izbjegavanje skupih komercijalnih platformi.</w:t>
      </w:r>
    </w:p>
    <w:p>
      <w:pPr>
        <w:pStyle w:val="Heading1"/>
        <w:rPr>
          <w:lang w:val="hr-BA"/>
        </w:rPr>
      </w:pPr>
      <w:bookmarkStart w:id="24" w:name="_Toc229862718"/>
      <w:bookmarkStart w:id="25" w:name="_Toc229324783"/>
      <w:r>
        <w:rPr>
          <w:lang w:val="hr-BA"/>
        </w:rPr>
        <w:t>8. Model događaja</w:t>
      </w:r>
      <w:bookmarkEnd w:id="24"/>
      <w:bookmarkEnd w:id="25"/>
    </w:p>
    <w:tbl>
      <w:tblPr>
        <w:tblpPr w:vertAnchor="text" w:horzAnchor="text" w:tblpXSpec="center" w:leftFromText="180" w:rightFromText="180" w:tblpY="1"/>
        <w:tblOverlap w:val="never"/>
        <w:tblW w:w="8926" w:type="dxa"/>
        <w:jc w:val="center"/>
        <w:tblInd w:w="0" w:type="dxa"/>
        <w:tblLayout w:type="fixed"/>
        <w:tblCellMar>
          <w:top w:w="60" w:type="dxa"/>
          <w:start w:w="108" w:type="dxa"/>
          <w:bottom w:w="60" w:type="dxa"/>
          <w:end w:w="108" w:type="dxa"/>
        </w:tblCellMar>
        <w:tblLook w:noHBand="0" w:noVBand="1" w:firstColumn="1" w:lastRow="0" w:lastColumn="0" w:firstRow="1" w:val="04a0"/>
      </w:tblPr>
      <w:tblGrid>
        <w:gridCol w:w="1105"/>
        <w:gridCol w:w="838"/>
        <w:gridCol w:w="1075"/>
        <w:gridCol w:w="866"/>
        <w:gridCol w:w="996"/>
        <w:gridCol w:w="1037"/>
        <w:gridCol w:w="977"/>
        <w:gridCol w:w="1085"/>
        <w:gridCol w:w="947"/>
      </w:tblGrid>
      <w:tr>
        <w:trPr/>
        <w:tc>
          <w:tcPr>
            <w:tcW w:w="1105" w:type="dxa"/>
            <w:tcBorders>
              <w:top w:val="single" w:sz="4" w:space="0" w:color="AAAAAA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2E4057" w:val="clear"/>
          </w:tcPr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Entitet /</w:t>
            </w:r>
          </w:p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Događaj</w:t>
            </w:r>
          </w:p>
        </w:tc>
        <w:tc>
          <w:tcPr>
            <w:tcW w:w="838" w:type="dxa"/>
            <w:tcBorders>
              <w:top w:val="single" w:sz="4" w:space="0" w:color="AAAAAA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E4057" w:val="clear"/>
          </w:tcPr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Unos komada</w:t>
            </w:r>
          </w:p>
        </w:tc>
        <w:tc>
          <w:tcPr>
            <w:tcW w:w="1075" w:type="dxa"/>
            <w:tcBorders>
              <w:top w:val="single" w:sz="4" w:space="0" w:color="AAAAAA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E4057" w:val="clear"/>
          </w:tcPr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Uređivanje</w:t>
            </w:r>
          </w:p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komada</w:t>
            </w:r>
          </w:p>
        </w:tc>
        <w:tc>
          <w:tcPr>
            <w:tcW w:w="866" w:type="dxa"/>
            <w:tcBorders>
              <w:top w:val="single" w:sz="4" w:space="0" w:color="AAAAAA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E4057" w:val="clear"/>
          </w:tcPr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Brisanje</w:t>
            </w:r>
          </w:p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komada</w:t>
            </w:r>
          </w:p>
        </w:tc>
        <w:tc>
          <w:tcPr>
            <w:tcW w:w="996" w:type="dxa"/>
            <w:tcBorders>
              <w:top w:val="single" w:sz="4" w:space="0" w:color="AAAAAA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E4057" w:val="clear"/>
          </w:tcPr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Dodjela</w:t>
            </w:r>
          </w:p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zaduženja</w:t>
            </w:r>
          </w:p>
        </w:tc>
        <w:tc>
          <w:tcPr>
            <w:tcW w:w="1037" w:type="dxa"/>
            <w:tcBorders>
              <w:top w:val="single" w:sz="4" w:space="0" w:color="AAAAAA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E4057" w:val="clear"/>
          </w:tcPr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Evidencija</w:t>
            </w:r>
          </w:p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povrata</w:t>
            </w:r>
          </w:p>
        </w:tc>
        <w:tc>
          <w:tcPr>
            <w:tcW w:w="977" w:type="dxa"/>
            <w:tcBorders>
              <w:top w:val="single" w:sz="4" w:space="0" w:color="AAAAAA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E4057" w:val="clear"/>
          </w:tcPr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Promjena</w:t>
            </w:r>
          </w:p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statusa</w:t>
            </w:r>
          </w:p>
        </w:tc>
        <w:tc>
          <w:tcPr>
            <w:tcW w:w="1085" w:type="dxa"/>
            <w:tcBorders>
              <w:top w:val="single" w:sz="4" w:space="0" w:color="AAAAAA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2E4057" w:val="clear"/>
          </w:tcPr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Slanje</w:t>
            </w:r>
          </w:p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upozorenja</w:t>
            </w:r>
          </w:p>
        </w:tc>
        <w:tc>
          <w:tcPr>
            <w:tcW w:w="947" w:type="dxa"/>
            <w:tcBorders>
              <w:top w:val="single" w:sz="4" w:space="0" w:color="AAAAAA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2E4057" w:val="clear"/>
          </w:tcPr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Pregled</w:t>
            </w:r>
          </w:p>
          <w:p>
            <w:pPr>
              <w:pStyle w:val="Normal"/>
              <w:rPr>
                <w:rFonts w:cs="Times New Roman"/>
                <w:color w:themeColor="background1" w:val="FFFFFF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color w:themeColor="background1" w:val="FFFFFF"/>
                <w:sz w:val="18"/>
                <w:szCs w:val="18"/>
                <w:lang w:val="hr-BA"/>
              </w:rPr>
              <w:t>izvještaja</w:t>
            </w:r>
          </w:p>
        </w:tc>
      </w:tr>
      <w:tr>
        <w:trPr/>
        <w:tc>
          <w:tcPr>
            <w:tcW w:w="1105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sz w:val="18"/>
                <w:szCs w:val="18"/>
                <w:lang w:val="hr-BA"/>
              </w:rPr>
              <w:t>Komad nošnje</w:t>
            </w:r>
          </w:p>
        </w:tc>
        <w:tc>
          <w:tcPr>
            <w:tcW w:w="8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C</w:t>
            </w:r>
          </w:p>
        </w:tc>
        <w:tc>
          <w:tcPr>
            <w:tcW w:w="1075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U</w:t>
            </w:r>
          </w:p>
        </w:tc>
        <w:tc>
          <w:tcPr>
            <w:tcW w:w="86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D</w:t>
            </w:r>
          </w:p>
        </w:tc>
        <w:tc>
          <w:tcPr>
            <w:tcW w:w="99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  <w:tc>
          <w:tcPr>
            <w:tcW w:w="103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  <w:tc>
          <w:tcPr>
            <w:tcW w:w="97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U</w:t>
            </w:r>
          </w:p>
        </w:tc>
        <w:tc>
          <w:tcPr>
            <w:tcW w:w="1085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94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</w:tr>
      <w:tr>
        <w:trPr/>
        <w:tc>
          <w:tcPr>
            <w:tcW w:w="1105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sz w:val="18"/>
                <w:szCs w:val="18"/>
                <w:lang w:val="hr-BA"/>
              </w:rPr>
              <w:t>Zaduženje</w:t>
            </w:r>
          </w:p>
        </w:tc>
        <w:tc>
          <w:tcPr>
            <w:tcW w:w="8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1075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86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99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C</w:t>
            </w:r>
          </w:p>
        </w:tc>
        <w:tc>
          <w:tcPr>
            <w:tcW w:w="103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U</w:t>
            </w:r>
          </w:p>
        </w:tc>
        <w:tc>
          <w:tcPr>
            <w:tcW w:w="97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1085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94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</w:tr>
      <w:tr>
        <w:trPr/>
        <w:tc>
          <w:tcPr>
            <w:tcW w:w="1105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sz w:val="18"/>
                <w:szCs w:val="18"/>
                <w:lang w:val="hr-BA"/>
              </w:rPr>
              <w:t>Član</w:t>
            </w:r>
          </w:p>
        </w:tc>
        <w:tc>
          <w:tcPr>
            <w:tcW w:w="8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1075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86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99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  <w:tc>
          <w:tcPr>
            <w:tcW w:w="103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  <w:tc>
          <w:tcPr>
            <w:tcW w:w="97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1085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94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</w:tr>
      <w:tr>
        <w:trPr/>
        <w:tc>
          <w:tcPr>
            <w:tcW w:w="1105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sz w:val="18"/>
                <w:szCs w:val="18"/>
                <w:lang w:val="hr-BA"/>
              </w:rPr>
              <w:t>Status komada</w:t>
            </w:r>
          </w:p>
        </w:tc>
        <w:tc>
          <w:tcPr>
            <w:tcW w:w="8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C</w:t>
            </w:r>
          </w:p>
        </w:tc>
        <w:tc>
          <w:tcPr>
            <w:tcW w:w="1075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86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99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  <w:tc>
          <w:tcPr>
            <w:tcW w:w="103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U</w:t>
            </w:r>
          </w:p>
        </w:tc>
        <w:tc>
          <w:tcPr>
            <w:tcW w:w="97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C/U</w:t>
            </w:r>
          </w:p>
        </w:tc>
        <w:tc>
          <w:tcPr>
            <w:tcW w:w="1085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94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</w:tr>
      <w:tr>
        <w:trPr/>
        <w:tc>
          <w:tcPr>
            <w:tcW w:w="1105" w:type="dxa"/>
            <w:tcBorders>
              <w:top w:val="single" w:sz="4" w:space="0" w:color="CCCCCC"/>
              <w:start w:val="single" w:sz="4" w:space="0" w:color="AAAAAA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sz w:val="18"/>
                <w:szCs w:val="18"/>
                <w:lang w:val="hr-BA"/>
              </w:rPr>
              <w:t>Upozorenje</w:t>
            </w:r>
          </w:p>
        </w:tc>
        <w:tc>
          <w:tcPr>
            <w:tcW w:w="838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1075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86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99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103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  <w:tc>
          <w:tcPr>
            <w:tcW w:w="97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C</w:t>
            </w:r>
          </w:p>
        </w:tc>
        <w:tc>
          <w:tcPr>
            <w:tcW w:w="1085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C</w:t>
            </w:r>
          </w:p>
        </w:tc>
        <w:tc>
          <w:tcPr>
            <w:tcW w:w="947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AAAAAA"/>
            </w:tcBorders>
            <w:shd w:color="auto" w:fill="F2F2F2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R</w:t>
            </w:r>
          </w:p>
        </w:tc>
      </w:tr>
      <w:tr>
        <w:trPr/>
        <w:tc>
          <w:tcPr>
            <w:tcW w:w="1105" w:type="dxa"/>
            <w:tcBorders>
              <w:top w:val="single" w:sz="4" w:space="0" w:color="CCCCCC"/>
              <w:start w:val="single" w:sz="4" w:space="0" w:color="AAAAAA"/>
              <w:bottom w:val="single" w:sz="4" w:space="0" w:color="AAAAAA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b/>
                <w:sz w:val="18"/>
                <w:szCs w:val="18"/>
                <w:lang w:val="hr-BA"/>
              </w:rPr>
              <w:t>Izvještaj</w:t>
            </w:r>
          </w:p>
        </w:tc>
        <w:tc>
          <w:tcPr>
            <w:tcW w:w="838" w:type="dxa"/>
            <w:tcBorders>
              <w:top w:val="single" w:sz="4" w:space="0" w:color="CCCCCC"/>
              <w:start w:val="single" w:sz="4" w:space="0" w:color="CCCCCC"/>
              <w:bottom w:val="single" w:sz="4" w:space="0" w:color="AAAAAA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1075" w:type="dxa"/>
            <w:tcBorders>
              <w:top w:val="single" w:sz="4" w:space="0" w:color="CCCCCC"/>
              <w:start w:val="single" w:sz="4" w:space="0" w:color="CCCCCC"/>
              <w:bottom w:val="single" w:sz="4" w:space="0" w:color="AAAAAA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866" w:type="dxa"/>
            <w:tcBorders>
              <w:top w:val="single" w:sz="4" w:space="0" w:color="CCCCCC"/>
              <w:start w:val="single" w:sz="4" w:space="0" w:color="CCCCCC"/>
              <w:bottom w:val="single" w:sz="4" w:space="0" w:color="AAAAAA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996" w:type="dxa"/>
            <w:tcBorders>
              <w:top w:val="single" w:sz="4" w:space="0" w:color="CCCCCC"/>
              <w:start w:val="single" w:sz="4" w:space="0" w:color="CCCCCC"/>
              <w:bottom w:val="single" w:sz="4" w:space="0" w:color="AAAAAA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1037" w:type="dxa"/>
            <w:tcBorders>
              <w:top w:val="single" w:sz="4" w:space="0" w:color="CCCCCC"/>
              <w:start w:val="single" w:sz="4" w:space="0" w:color="CCCCCC"/>
              <w:bottom w:val="single" w:sz="4" w:space="0" w:color="AAAAAA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977" w:type="dxa"/>
            <w:tcBorders>
              <w:top w:val="single" w:sz="4" w:space="0" w:color="CCCCCC"/>
              <w:start w:val="single" w:sz="4" w:space="0" w:color="CCCCCC"/>
              <w:bottom w:val="single" w:sz="4" w:space="0" w:color="AAAAAA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1085" w:type="dxa"/>
            <w:tcBorders>
              <w:top w:val="single" w:sz="4" w:space="0" w:color="CCCCCC"/>
              <w:start w:val="single" w:sz="4" w:space="0" w:color="CCCCCC"/>
              <w:bottom w:val="single" w:sz="4" w:space="0" w:color="AAAAAA"/>
              <w:end w:val="single" w:sz="4" w:space="0" w:color="CCCCCC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</w:r>
          </w:p>
        </w:tc>
        <w:tc>
          <w:tcPr>
            <w:tcW w:w="947" w:type="dxa"/>
            <w:tcBorders>
              <w:top w:val="single" w:sz="4" w:space="0" w:color="CCCCCC"/>
              <w:start w:val="single" w:sz="4" w:space="0" w:color="CCCCCC"/>
              <w:bottom w:val="single" w:sz="4" w:space="0" w:color="AAAAAA"/>
              <w:end w:val="single" w:sz="4" w:space="0" w:color="AAAAAA"/>
            </w:tcBorders>
            <w:shd w:color="auto" w:fill="FFFFFF" w:val="clear"/>
          </w:tcPr>
          <w:p>
            <w:pPr>
              <w:pStyle w:val="Normal"/>
              <w:rPr>
                <w:rFonts w:cs="Times New Roman"/>
                <w:sz w:val="18"/>
                <w:szCs w:val="18"/>
                <w:lang w:val="hr-BA"/>
              </w:rPr>
            </w:pPr>
            <w:r>
              <w:rPr>
                <w:rFonts w:cs="Times New Roman"/>
                <w:sz w:val="18"/>
                <w:szCs w:val="18"/>
                <w:lang w:val="hr-BA"/>
              </w:rPr>
              <w:t>C</w:t>
            </w:r>
          </w:p>
        </w:tc>
      </w:tr>
    </w:tbl>
    <w:p>
      <w:pPr>
        <w:pStyle w:val="Normal"/>
        <w:rPr>
          <w:lang w:val="hr-BA"/>
        </w:rPr>
      </w:pPr>
      <w:r>
        <w:rPr>
          <w:lang w:val="hr-BA"/>
        </w:rPr>
      </w:r>
    </w:p>
    <w:p>
      <w:pPr>
        <w:pStyle w:val="Normal"/>
        <w:rPr>
          <w:lang w:val="hr-BA"/>
        </w:rPr>
      </w:pPr>
      <w:r>
        <w:rPr>
          <w:lang w:val="hr-BA"/>
        </w:rPr>
        <w:t>Legenda: C – kreiranje, R – čitanje/pregled, U – ažuriranje, D – brisanje</w:t>
      </w:r>
    </w:p>
    <w:p>
      <w:pPr>
        <w:pStyle w:val="Normal"/>
        <w:rPr>
          <w:lang w:val="hr-BA"/>
        </w:rPr>
      </w:pPr>
      <w:r>
        <w:rPr>
          <w:lang w:val="hr-BA"/>
        </w:rPr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1800" w:right="1440" w:gutter="0" w:header="708" w:top="1440" w:footer="708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ptos Display">
    <w:charset w:val="01" w:characterSet="utf-8"/>
    <w:family w:val="roman"/>
    <w:pitch w:val="variable"/>
  </w:font>
  <w:font w:name="Aptos">
    <w:charset w:val="01" w:characterSet="utf-8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  <w:szCs w:val="18"/>
      </w:rPr>
    </w:pPr>
    <w:r>
      <w:rPr>
        <w:sz w:val="18"/>
        <w:szCs w:val="18"/>
      </w:rPr>
      <w:t>Projektiranje Informacijskih Sustava</w:t>
      <w:tab/>
      <w:t>FSRE, 2026</w:t>
      <w:tab/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6</w:t>
    </w:r>
    <w:r>
      <w:rPr>
        <w:sz w:val="18"/>
        <w:szCs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18"/>
        <w:szCs w:val="18"/>
        <w:u w:val="single"/>
      </w:rPr>
    </w:pPr>
    <w:r>
      <w:rPr>
        <w:sz w:val="18"/>
        <w:szCs w:val="18"/>
        <w:u w:val="single"/>
      </w:rPr>
      <w:t>Informacijski sustav za upravljanje inventarom nošnje KUDTrack</w:t>
      <w:tab/>
      <w:t>Prijedlog projekta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7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44912"/>
    <w:pPr>
      <w:widowControl/>
      <w:bidi w:val="0"/>
      <w:spacing w:before="0" w:after="0"/>
      <w:jc w:val="start"/>
    </w:pPr>
    <w:rPr>
      <w:rFonts w:ascii="Times New Roman" w:hAnsi="Times New Roman" w:eastAsia="Arial" w:cs="Arial"/>
      <w:color w:val="auto"/>
      <w:kern w:val="0"/>
      <w:sz w:val="20"/>
      <w:szCs w:val="22"/>
      <w:lang w:val="hr-HR" w:eastAsia="en-US" w:bidi="ar-SA"/>
    </w:rPr>
  </w:style>
  <w:style w:type="paragraph" w:styleId="Heading1">
    <w:name w:val="heading 1"/>
    <w:link w:val="Heading1Char"/>
    <w:autoRedefine/>
    <w:uiPriority w:val="9"/>
    <w:qFormat/>
    <w:rsid w:val="00f92062"/>
    <w:pPr>
      <w:widowControl/>
      <w:pBdr>
        <w:bottom w:val="single" w:sz="4" w:space="4" w:color="2E4057"/>
      </w:pBdr>
      <w:bidi w:val="0"/>
      <w:spacing w:before="320" w:after="160"/>
      <w:jc w:val="start"/>
      <w:outlineLvl w:val="0"/>
    </w:pPr>
    <w:rPr>
      <w:rFonts w:ascii="Times New Roman" w:hAnsi="Times New Roman" w:eastAsia="Arial" w:cs="Arial"/>
      <w:b/>
      <w:bCs/>
      <w:color w:val="2E4057"/>
      <w:kern w:val="0"/>
      <w:sz w:val="28"/>
      <w:szCs w:val="32"/>
      <w:lang w:val="en-US" w:eastAsia="en-US" w:bidi="ar-SA"/>
    </w:rPr>
  </w:style>
  <w:style w:type="paragraph" w:styleId="Heading2">
    <w:name w:val="heading 2"/>
    <w:autoRedefine/>
    <w:uiPriority w:val="9"/>
    <w:unhideWhenUsed/>
    <w:qFormat/>
    <w:rsid w:val="00fb3070"/>
    <w:pPr>
      <w:widowControl/>
      <w:bidi w:val="0"/>
      <w:spacing w:before="240" w:after="120"/>
      <w:jc w:val="start"/>
      <w:outlineLvl w:val="1"/>
    </w:pPr>
    <w:rPr>
      <w:rFonts w:ascii="Times New Roman" w:hAnsi="Times New Roman" w:eastAsia="Arial" w:cs="Arial"/>
      <w:b/>
      <w:bCs/>
      <w:color w:val="1A3A5C"/>
      <w:kern w:val="0"/>
      <w:sz w:val="24"/>
      <w:szCs w:val="26"/>
      <w:lang w:val="en-US" w:eastAsia="en-US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Arial" w:hAnsi="Arial" w:eastAsia="Arial" w:cs="Arial"/>
      <w:color w:val="1F4D78"/>
      <w:kern w:val="0"/>
      <w:sz w:val="24"/>
      <w:szCs w:val="24"/>
      <w:lang w:val="en-US" w:eastAsia="en-US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Arial" w:hAnsi="Arial" w:eastAsia="Arial" w:cs="Arial"/>
      <w:i/>
      <w:iCs/>
      <w:color w:val="2E74B5"/>
      <w:kern w:val="0"/>
      <w:sz w:val="22"/>
      <w:szCs w:val="22"/>
      <w:lang w:val="en-US" w:eastAsia="en-US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Arial" w:hAnsi="Arial" w:eastAsia="Arial" w:cs="Arial"/>
      <w:color w:val="2E74B5"/>
      <w:kern w:val="0"/>
      <w:sz w:val="22"/>
      <w:szCs w:val="22"/>
      <w:lang w:val="en-US" w:eastAsia="en-US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Arial" w:hAnsi="Arial" w:eastAsia="Arial" w:cs="Arial"/>
      <w:color w:val="1F4D78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37fe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37fe4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5b0e23"/>
    <w:rPr>
      <w:color w:val="605E5C"/>
      <w:shd w:fill="E1DFDD" w:val="clear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253e5b"/>
    <w:rPr>
      <w:rFonts w:ascii="Times New Roman" w:hAnsi="Times New Roman"/>
      <w:b/>
      <w:bCs/>
      <w:color w:val="2E4057"/>
      <w:sz w:val="28"/>
      <w:szCs w:val="32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ed7dbc"/>
    <w:pPr>
      <w:spacing w:before="120" w:after="120"/>
      <w:jc w:val="center"/>
    </w:pPr>
    <w:rPr>
      <w:i/>
      <w:iCs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56"/>
      <w:szCs w:val="56"/>
      <w:lang w:val="en-US" w:eastAsia="en-US" w:bidi="ar-SA"/>
    </w:rPr>
  </w:style>
  <w:style w:type="paragraph" w:styleId="Strong1" w:customStyle="1">
    <w:name w:val="Strong1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autoRedefine/>
    <w:uiPriority w:val="34"/>
    <w:qFormat/>
    <w:rsid w:val="00fb3070"/>
    <w:pPr>
      <w:widowControl/>
      <w:numPr>
        <w:ilvl w:val="0"/>
        <w:numId w:val="1"/>
      </w:numPr>
      <w:bidi w:val="0"/>
      <w:spacing w:before="0" w:after="0"/>
      <w:jc w:val="start"/>
    </w:pPr>
    <w:rPr>
      <w:rFonts w:ascii="Times New Roman" w:hAnsi="Times New Roman" w:eastAsia="Arial" w:cs="Arial"/>
      <w:color w:val="auto"/>
      <w:kern w:val="0"/>
      <w:sz w:val="20"/>
      <w:szCs w:val="24"/>
      <w:lang w:val="en-US" w:eastAsia="en-US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37fe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d37fe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f92062"/>
    <w:pPr>
      <w:keepNext w:val="true"/>
      <w:keepLines/>
      <w:pBdr>
        <w:bottom w:val="nil"/>
      </w:pBdr>
      <w:spacing w:lineRule="auto" w:line="259" w:before="240" w:after="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0F4761"/>
    </w:rPr>
  </w:style>
  <w:style w:type="paragraph" w:styleId="TOC1">
    <w:name w:val="toc 1"/>
    <w:basedOn w:val="Normal"/>
    <w:next w:val="Normal"/>
    <w:autoRedefine/>
    <w:uiPriority w:val="39"/>
    <w:unhideWhenUsed/>
    <w:rsid w:val="00f92062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f92062"/>
    <w:pPr>
      <w:spacing w:before="0" w:after="100"/>
      <w:ind w:start="220"/>
    </w:pPr>
    <w:rPr/>
  </w:style>
  <w:style w:type="paragraph" w:styleId="NoSpacing">
    <w:name w:val="No Spacing"/>
    <w:uiPriority w:val="1"/>
    <w:qFormat/>
    <w:rsid w:val="00a96d40"/>
    <w:pPr>
      <w:widowControl/>
      <w:bidi w:val="0"/>
      <w:spacing w:before="0" w:after="0"/>
      <w:jc w:val="start"/>
    </w:pPr>
    <w:rPr>
      <w:rFonts w:ascii="Times New Roman" w:hAnsi="Times New Roman" w:eastAsia="Arial" w:cs="Arial"/>
      <w:color w:val="auto"/>
      <w:kern w:val="0"/>
      <w:sz w:val="20"/>
      <w:szCs w:val="22"/>
      <w:lang w:val="hr-HR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10A5074-3D91-4142-89D1-93136C063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LibreOffice/26.2.3.2$Linux_X86_64 LibreOffice_project/d4d5ed47b6084125f28d269a5650105d54dde034</Application>
  <AppVersion>15.0000</AppVersion>
  <Pages>6</Pages>
  <Words>1091</Words>
  <Characters>6832</Characters>
  <CharactersWithSpaces>7802</CharactersWithSpaces>
  <Paragraphs>135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2026-05-16T20:24:00Z</dcterms:created>
  <dc:creator>Un-named</dc:creator>
  <dc:description/>
  <dc:language>en-US</dc:language>
  <cp:lastModifiedBy/>
  <dcterms:modified xsi:type="dcterms:W3CDTF">2026-06-21T19:00:55Z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