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5631" w14:textId="2C6176A2" w:rsidR="00FD4127" w:rsidRPr="00D43134" w:rsidRDefault="008B6FD7" w:rsidP="00A67D8E">
      <w:pPr>
        <w:spacing w:line="360" w:lineRule="auto"/>
        <w:ind w:firstLine="0"/>
        <w:jc w:val="center"/>
        <w:rPr>
          <w:rFonts w:ascii="Times New Roman" w:hAnsi="Times New Roman" w:cs="Times New Roman"/>
          <w:i/>
          <w:iCs/>
          <w:sz w:val="24"/>
          <w:szCs w:val="24"/>
        </w:rPr>
      </w:pPr>
      <w:r>
        <w:rPr>
          <w:rFonts w:ascii="Times New Roman" w:hAnsi="Times New Roman" w:cs="Times New Roman"/>
          <w:b/>
          <w:bCs/>
          <w:sz w:val="24"/>
          <w:szCs w:val="24"/>
        </w:rPr>
        <w:t>Replicate-anchored calibration of within-host single nucleotide variant detection</w:t>
      </w:r>
      <w:r w:rsidR="00D43134">
        <w:rPr>
          <w:rFonts w:ascii="Times New Roman" w:hAnsi="Times New Roman" w:cs="Times New Roman"/>
          <w:b/>
          <w:bCs/>
          <w:sz w:val="24"/>
          <w:szCs w:val="24"/>
        </w:rPr>
        <w:t xml:space="preserve"> in </w:t>
      </w:r>
      <w:r w:rsidR="00D43134">
        <w:rPr>
          <w:rFonts w:ascii="Times New Roman" w:hAnsi="Times New Roman" w:cs="Times New Roman"/>
          <w:b/>
          <w:bCs/>
          <w:i/>
          <w:iCs/>
          <w:sz w:val="24"/>
          <w:szCs w:val="24"/>
        </w:rPr>
        <w:t xml:space="preserve">Mycobacterium tuberculosis </w:t>
      </w:r>
      <w:r w:rsidR="00D855EA">
        <w:rPr>
          <w:rFonts w:ascii="Times New Roman" w:hAnsi="Times New Roman" w:cs="Times New Roman"/>
          <w:b/>
          <w:bCs/>
          <w:sz w:val="24"/>
          <w:szCs w:val="24"/>
        </w:rPr>
        <w:t>whole genome sequencing</w:t>
      </w:r>
    </w:p>
    <w:p w14:paraId="56874063" w14:textId="0811D03D" w:rsidR="00FD4127" w:rsidRPr="004F4406" w:rsidRDefault="00D63EBE" w:rsidP="00BC7957">
      <w:pPr>
        <w:spacing w:line="360" w:lineRule="auto"/>
        <w:ind w:firstLine="0"/>
        <w:jc w:val="center"/>
        <w:rPr>
          <w:rFonts w:ascii="Times New Roman" w:hAnsi="Times New Roman" w:cs="Times New Roman"/>
          <w:sz w:val="24"/>
          <w:szCs w:val="24"/>
          <w:vertAlign w:val="superscript"/>
        </w:rPr>
      </w:pPr>
      <w:r w:rsidRPr="00425689">
        <w:rPr>
          <w:rFonts w:ascii="Times New Roman" w:hAnsi="Times New Roman" w:cs="Times New Roman"/>
          <w:sz w:val="24"/>
          <w:szCs w:val="24"/>
        </w:rPr>
        <w:t>Marie Nancy Séraphin</w:t>
      </w:r>
      <w:r w:rsidR="00425689">
        <w:rPr>
          <w:rFonts w:ascii="Times New Roman" w:hAnsi="Times New Roman" w:cs="Times New Roman"/>
          <w:sz w:val="24"/>
          <w:szCs w:val="24"/>
          <w:vertAlign w:val="superscript"/>
        </w:rPr>
        <w:t>1,2</w:t>
      </w:r>
      <w:r w:rsidR="006F45B0">
        <w:rPr>
          <w:rFonts w:ascii="Times New Roman" w:hAnsi="Times New Roman" w:cs="Times New Roman"/>
          <w:sz w:val="24"/>
          <w:szCs w:val="24"/>
          <w:vertAlign w:val="superscript"/>
        </w:rPr>
        <w:t>,3</w:t>
      </w:r>
      <w:r w:rsidRPr="00425689">
        <w:rPr>
          <w:rFonts w:ascii="Times New Roman" w:hAnsi="Times New Roman" w:cs="Times New Roman"/>
          <w:sz w:val="24"/>
          <w:szCs w:val="24"/>
          <w:vertAlign w:val="superscript"/>
        </w:rPr>
        <w:t>*</w:t>
      </w:r>
      <w:r w:rsidR="00477535">
        <w:rPr>
          <w:rFonts w:ascii="Times New Roman" w:hAnsi="Times New Roman" w:cs="Times New Roman"/>
          <w:sz w:val="24"/>
          <w:szCs w:val="24"/>
        </w:rPr>
        <w:t>,</w:t>
      </w:r>
      <w:r w:rsidR="00F83A4C">
        <w:rPr>
          <w:rFonts w:ascii="Times New Roman" w:hAnsi="Times New Roman" w:cs="Times New Roman"/>
          <w:sz w:val="24"/>
          <w:szCs w:val="24"/>
        </w:rPr>
        <w:t xml:space="preserve"> </w:t>
      </w:r>
      <w:r w:rsidR="00F50F39">
        <w:rPr>
          <w:rFonts w:ascii="Times New Roman" w:hAnsi="Times New Roman" w:cs="Times New Roman"/>
          <w:sz w:val="24"/>
          <w:szCs w:val="24"/>
        </w:rPr>
        <w:t>J</w:t>
      </w:r>
      <w:r w:rsidR="00FD4127" w:rsidRPr="00425689">
        <w:rPr>
          <w:rFonts w:ascii="Times New Roman" w:hAnsi="Times New Roman" w:cs="Times New Roman"/>
          <w:sz w:val="24"/>
          <w:szCs w:val="24"/>
        </w:rPr>
        <w:t xml:space="preserve">ane </w:t>
      </w:r>
      <w:r w:rsidR="00E0096F">
        <w:rPr>
          <w:rFonts w:ascii="Times New Roman" w:hAnsi="Times New Roman" w:cs="Times New Roman"/>
          <w:sz w:val="24"/>
          <w:szCs w:val="24"/>
        </w:rPr>
        <w:t xml:space="preserve">Sandra </w:t>
      </w:r>
      <w:r w:rsidR="00FD4127" w:rsidRPr="00425689">
        <w:rPr>
          <w:rFonts w:ascii="Times New Roman" w:hAnsi="Times New Roman" w:cs="Times New Roman"/>
          <w:sz w:val="24"/>
          <w:szCs w:val="24"/>
        </w:rPr>
        <w:t>Afriyie-Mensah</w:t>
      </w:r>
      <w:r w:rsidR="00F83A4C">
        <w:rPr>
          <w:rFonts w:ascii="Times New Roman" w:hAnsi="Times New Roman" w:cs="Times New Roman"/>
          <w:sz w:val="24"/>
          <w:szCs w:val="24"/>
          <w:vertAlign w:val="superscript"/>
        </w:rPr>
        <w:t>4,5</w:t>
      </w:r>
      <w:r w:rsidR="00A3713C">
        <w:rPr>
          <w:rFonts w:ascii="Times New Roman" w:hAnsi="Times New Roman" w:cs="Times New Roman"/>
          <w:sz w:val="24"/>
          <w:szCs w:val="24"/>
        </w:rPr>
        <w:t xml:space="preserve">, </w:t>
      </w:r>
      <w:r w:rsidR="00DA767D">
        <w:rPr>
          <w:rFonts w:ascii="Times New Roman" w:hAnsi="Times New Roman" w:cs="Times New Roman"/>
          <w:sz w:val="24"/>
          <w:szCs w:val="24"/>
        </w:rPr>
        <w:t>Michael Asare-Baah</w:t>
      </w:r>
      <w:r w:rsidR="00DA767D">
        <w:rPr>
          <w:rFonts w:ascii="Times New Roman" w:hAnsi="Times New Roman" w:cs="Times New Roman"/>
          <w:sz w:val="24"/>
          <w:szCs w:val="24"/>
          <w:vertAlign w:val="superscript"/>
        </w:rPr>
        <w:t>1,2</w:t>
      </w:r>
      <w:r w:rsidR="00DA767D">
        <w:rPr>
          <w:rFonts w:ascii="Times New Roman" w:hAnsi="Times New Roman" w:cs="Times New Roman"/>
          <w:sz w:val="24"/>
          <w:szCs w:val="24"/>
        </w:rPr>
        <w:t xml:space="preserve">, </w:t>
      </w:r>
      <w:r w:rsidR="00304A64">
        <w:rPr>
          <w:rFonts w:ascii="Times New Roman" w:eastAsia="Times New Roman" w:hAnsi="Times New Roman" w:cs="Times New Roman"/>
          <w:color w:val="000000"/>
          <w:kern w:val="36"/>
          <w14:ligatures w14:val="none"/>
        </w:rPr>
        <w:t>Julia Chariker</w:t>
      </w:r>
      <w:r w:rsidR="00304A64">
        <w:rPr>
          <w:rFonts w:ascii="Times New Roman" w:eastAsia="Times New Roman" w:hAnsi="Times New Roman" w:cs="Times New Roman"/>
          <w:color w:val="000000"/>
          <w:kern w:val="36"/>
          <w:vertAlign w:val="superscript"/>
          <w14:ligatures w14:val="none"/>
        </w:rPr>
        <w:t>6</w:t>
      </w:r>
      <w:r w:rsidR="00304A64">
        <w:rPr>
          <w:rFonts w:ascii="Times New Roman" w:hAnsi="Times New Roman" w:cs="Times New Roman"/>
          <w:sz w:val="24"/>
          <w:szCs w:val="24"/>
        </w:rPr>
        <w:t xml:space="preserve">, </w:t>
      </w:r>
      <w:r w:rsidR="00FD4127" w:rsidRPr="00425689">
        <w:rPr>
          <w:rFonts w:ascii="Times New Roman" w:hAnsi="Times New Roman" w:cs="Times New Roman"/>
          <w:sz w:val="24"/>
          <w:szCs w:val="24"/>
        </w:rPr>
        <w:t>Charles Domotey</w:t>
      </w:r>
      <w:r w:rsidR="006F45B0">
        <w:rPr>
          <w:rFonts w:ascii="Times New Roman" w:hAnsi="Times New Roman" w:cs="Times New Roman"/>
          <w:sz w:val="24"/>
          <w:szCs w:val="24"/>
          <w:vertAlign w:val="superscript"/>
        </w:rPr>
        <w:t>7</w:t>
      </w:r>
      <w:r w:rsidR="00A3713C">
        <w:rPr>
          <w:rFonts w:ascii="Times New Roman" w:hAnsi="Times New Roman" w:cs="Times New Roman"/>
          <w:sz w:val="24"/>
          <w:szCs w:val="24"/>
        </w:rPr>
        <w:t xml:space="preserve">, </w:t>
      </w:r>
      <w:r w:rsidR="00FD4127" w:rsidRPr="00425689">
        <w:rPr>
          <w:rFonts w:ascii="Times New Roman" w:hAnsi="Times New Roman" w:cs="Times New Roman"/>
          <w:sz w:val="24"/>
          <w:szCs w:val="24"/>
        </w:rPr>
        <w:t>Ernest Kwarteng</w:t>
      </w:r>
      <w:r w:rsidR="006F45B0">
        <w:rPr>
          <w:rFonts w:ascii="Times New Roman" w:hAnsi="Times New Roman" w:cs="Times New Roman"/>
          <w:sz w:val="24"/>
          <w:szCs w:val="24"/>
          <w:vertAlign w:val="superscript"/>
        </w:rPr>
        <w:t>7</w:t>
      </w:r>
      <w:r w:rsidR="00A3713C">
        <w:rPr>
          <w:rFonts w:ascii="Times New Roman" w:hAnsi="Times New Roman" w:cs="Times New Roman"/>
          <w:sz w:val="24"/>
          <w:szCs w:val="24"/>
        </w:rPr>
        <w:t>,</w:t>
      </w:r>
      <w:r w:rsidR="00FD4127" w:rsidRPr="00425689">
        <w:rPr>
          <w:rFonts w:ascii="Times New Roman" w:hAnsi="Times New Roman" w:cs="Times New Roman"/>
          <w:sz w:val="24"/>
          <w:szCs w:val="24"/>
        </w:rPr>
        <w:t xml:space="preserve"> </w:t>
      </w:r>
      <w:r w:rsidR="001A185F">
        <w:rPr>
          <w:rFonts w:ascii="Times New Roman" w:hAnsi="Times New Roman" w:cs="Times New Roman"/>
          <w:sz w:val="24"/>
          <w:szCs w:val="24"/>
        </w:rPr>
        <w:t>Magalie Zoungrana</w:t>
      </w:r>
      <w:r w:rsidR="00A30F49" w:rsidRPr="00A30F49">
        <w:rPr>
          <w:rFonts w:ascii="Times New Roman" w:hAnsi="Times New Roman" w:cs="Times New Roman"/>
          <w:sz w:val="24"/>
          <w:szCs w:val="24"/>
          <w:vertAlign w:val="superscript"/>
        </w:rPr>
        <w:t>1,</w:t>
      </w:r>
      <w:r w:rsidR="006F45B0">
        <w:rPr>
          <w:rFonts w:ascii="Times New Roman" w:hAnsi="Times New Roman" w:cs="Times New Roman"/>
          <w:sz w:val="24"/>
          <w:szCs w:val="24"/>
          <w:vertAlign w:val="superscript"/>
        </w:rPr>
        <w:t>2</w:t>
      </w:r>
      <w:r w:rsidR="001A185F">
        <w:rPr>
          <w:rFonts w:ascii="Times New Roman" w:hAnsi="Times New Roman" w:cs="Times New Roman"/>
          <w:sz w:val="24"/>
          <w:szCs w:val="24"/>
        </w:rPr>
        <w:t xml:space="preserve">, </w:t>
      </w:r>
      <w:r w:rsidR="00DB122D" w:rsidRPr="00425689">
        <w:rPr>
          <w:rFonts w:ascii="Times New Roman" w:hAnsi="Times New Roman" w:cs="Times New Roman"/>
          <w:sz w:val="24"/>
          <w:szCs w:val="24"/>
        </w:rPr>
        <w:t>Sheila</w:t>
      </w:r>
      <w:r w:rsidR="00FD4127" w:rsidRPr="00425689">
        <w:rPr>
          <w:rFonts w:ascii="Times New Roman" w:hAnsi="Times New Roman" w:cs="Times New Roman"/>
          <w:sz w:val="24"/>
          <w:szCs w:val="24"/>
        </w:rPr>
        <w:t xml:space="preserve"> Mireku Appah</w:t>
      </w:r>
      <w:r w:rsidR="004F4406">
        <w:rPr>
          <w:rFonts w:ascii="Times New Roman" w:hAnsi="Times New Roman" w:cs="Times New Roman"/>
          <w:sz w:val="24"/>
          <w:szCs w:val="24"/>
          <w:vertAlign w:val="superscript"/>
        </w:rPr>
        <w:t>8</w:t>
      </w:r>
      <w:r w:rsidR="00A3713C">
        <w:rPr>
          <w:rFonts w:ascii="Times New Roman" w:hAnsi="Times New Roman" w:cs="Times New Roman"/>
          <w:sz w:val="24"/>
          <w:szCs w:val="24"/>
        </w:rPr>
        <w:t xml:space="preserve">, </w:t>
      </w:r>
      <w:r w:rsidR="00236973">
        <w:rPr>
          <w:rFonts w:ascii="Times New Roman" w:hAnsi="Times New Roman" w:cs="Times New Roman"/>
          <w:sz w:val="24"/>
          <w:szCs w:val="24"/>
        </w:rPr>
        <w:t>Honesty Ganu</w:t>
      </w:r>
      <w:r w:rsidR="004F4406">
        <w:rPr>
          <w:rFonts w:ascii="Times New Roman" w:hAnsi="Times New Roman" w:cs="Times New Roman"/>
          <w:sz w:val="24"/>
          <w:szCs w:val="24"/>
          <w:vertAlign w:val="superscript"/>
        </w:rPr>
        <w:t>8</w:t>
      </w:r>
      <w:r w:rsidR="008E6AFA">
        <w:rPr>
          <w:rFonts w:ascii="Times New Roman" w:hAnsi="Times New Roman" w:cs="Times New Roman"/>
          <w:sz w:val="24"/>
          <w:szCs w:val="24"/>
        </w:rPr>
        <w:t xml:space="preserve">, </w:t>
      </w:r>
      <w:r w:rsidR="00FE4C1C">
        <w:rPr>
          <w:rFonts w:ascii="Times New Roman" w:hAnsi="Times New Roman" w:cs="Times New Roman"/>
          <w:sz w:val="24"/>
          <w:szCs w:val="24"/>
        </w:rPr>
        <w:t xml:space="preserve">and </w:t>
      </w:r>
      <w:r w:rsidR="00425689" w:rsidRPr="00425689">
        <w:rPr>
          <w:rFonts w:ascii="Times New Roman" w:eastAsia="Times New Roman" w:hAnsi="Times New Roman" w:cs="Times New Roman"/>
          <w:color w:val="000000"/>
          <w:kern w:val="36"/>
          <w:sz w:val="24"/>
          <w:szCs w:val="24"/>
          <w14:ligatures w14:val="none"/>
        </w:rPr>
        <w:t>Michael Amo Omari</w:t>
      </w:r>
      <w:r w:rsidR="004F4406">
        <w:rPr>
          <w:rFonts w:ascii="Times New Roman" w:eastAsia="Times New Roman" w:hAnsi="Times New Roman" w:cs="Times New Roman"/>
          <w:color w:val="000000"/>
          <w:kern w:val="36"/>
          <w:sz w:val="24"/>
          <w:szCs w:val="24"/>
          <w:vertAlign w:val="superscript"/>
          <w14:ligatures w14:val="none"/>
        </w:rPr>
        <w:t>8</w:t>
      </w:r>
    </w:p>
    <w:p w14:paraId="1DBE0157" w14:textId="77777777" w:rsidR="00FD4127" w:rsidRPr="00425689" w:rsidRDefault="00FD4127" w:rsidP="003F778A">
      <w:pPr>
        <w:spacing w:after="0" w:line="480" w:lineRule="auto"/>
        <w:ind w:firstLine="0"/>
        <w:jc w:val="left"/>
        <w:rPr>
          <w:rFonts w:ascii="Times New Roman" w:hAnsi="Times New Roman" w:cs="Times New Roman"/>
          <w:sz w:val="24"/>
          <w:szCs w:val="24"/>
        </w:rPr>
      </w:pPr>
      <w:r w:rsidRPr="005D3900">
        <w:rPr>
          <w:rFonts w:ascii="Times New Roman" w:hAnsi="Times New Roman" w:cs="Times New Roman"/>
          <w:b/>
          <w:bCs/>
          <w:sz w:val="24"/>
          <w:szCs w:val="24"/>
        </w:rPr>
        <w:t>Authors Affiliations</w:t>
      </w:r>
      <w:r w:rsidRPr="00425689">
        <w:rPr>
          <w:rFonts w:ascii="Times New Roman" w:hAnsi="Times New Roman" w:cs="Times New Roman"/>
          <w:sz w:val="24"/>
          <w:szCs w:val="24"/>
        </w:rPr>
        <w:t>:</w:t>
      </w:r>
    </w:p>
    <w:p w14:paraId="1D46253F" w14:textId="77777777" w:rsidR="00FD4127" w:rsidRDefault="00FD4127" w:rsidP="003F778A">
      <w:pPr>
        <w:spacing w:after="0" w:line="480" w:lineRule="auto"/>
        <w:ind w:firstLine="0"/>
        <w:jc w:val="left"/>
        <w:rPr>
          <w:rFonts w:ascii="Times New Roman" w:hAnsi="Times New Roman" w:cs="Times New Roman"/>
          <w:sz w:val="24"/>
          <w:szCs w:val="24"/>
        </w:rPr>
      </w:pPr>
      <w:r w:rsidRPr="00425689">
        <w:rPr>
          <w:rFonts w:ascii="Times New Roman" w:hAnsi="Times New Roman" w:cs="Times New Roman"/>
          <w:sz w:val="24"/>
          <w:szCs w:val="24"/>
          <w:vertAlign w:val="superscript"/>
        </w:rPr>
        <w:t>1</w:t>
      </w:r>
      <w:r w:rsidRPr="00425689">
        <w:rPr>
          <w:rFonts w:ascii="Times New Roman" w:hAnsi="Times New Roman" w:cs="Times New Roman"/>
          <w:sz w:val="24"/>
          <w:szCs w:val="24"/>
        </w:rPr>
        <w:t>Department of Epidemiology, University of Florida, College of Public Health and Health Professions, College of Medicine, Gainesville, FL, USA</w:t>
      </w:r>
    </w:p>
    <w:p w14:paraId="2DD5205C" w14:textId="080AD84A" w:rsidR="006F45B0" w:rsidRPr="00425689" w:rsidRDefault="006F45B0" w:rsidP="003F778A">
      <w:pPr>
        <w:spacing w:after="0" w:line="480" w:lineRule="auto"/>
        <w:ind w:firstLine="0"/>
        <w:jc w:val="left"/>
        <w:rPr>
          <w:rFonts w:ascii="Times New Roman" w:hAnsi="Times New Roman" w:cs="Times New Roman"/>
          <w:sz w:val="24"/>
          <w:szCs w:val="24"/>
        </w:rPr>
      </w:pPr>
      <w:r>
        <w:rPr>
          <w:rFonts w:ascii="Times New Roman" w:hAnsi="Times New Roman" w:cs="Times New Roman"/>
          <w:sz w:val="24"/>
          <w:szCs w:val="24"/>
          <w:vertAlign w:val="superscript"/>
        </w:rPr>
        <w:t xml:space="preserve">2 </w:t>
      </w:r>
      <w:r>
        <w:rPr>
          <w:rFonts w:ascii="Times New Roman" w:hAnsi="Times New Roman" w:cs="Times New Roman"/>
          <w:sz w:val="24"/>
          <w:szCs w:val="24"/>
        </w:rPr>
        <w:t>Department of Medicine, University of Florida, College of Medicine, Gainesville, FL, USA</w:t>
      </w:r>
    </w:p>
    <w:p w14:paraId="270FB608" w14:textId="740CFCB9" w:rsidR="00FD4127" w:rsidRDefault="006F45B0" w:rsidP="003F778A">
      <w:pPr>
        <w:spacing w:after="0" w:line="480" w:lineRule="auto"/>
        <w:ind w:firstLine="0"/>
        <w:jc w:val="left"/>
        <w:rPr>
          <w:rFonts w:ascii="Times New Roman" w:hAnsi="Times New Roman" w:cs="Times New Roman"/>
          <w:sz w:val="24"/>
          <w:szCs w:val="24"/>
        </w:rPr>
      </w:pPr>
      <w:r>
        <w:rPr>
          <w:rFonts w:ascii="Times New Roman" w:hAnsi="Times New Roman" w:cs="Times New Roman"/>
          <w:sz w:val="24"/>
          <w:szCs w:val="24"/>
          <w:vertAlign w:val="superscript"/>
        </w:rPr>
        <w:t>3</w:t>
      </w:r>
      <w:r w:rsidR="00FD4127" w:rsidRPr="00425689">
        <w:rPr>
          <w:rFonts w:ascii="Times New Roman" w:hAnsi="Times New Roman" w:cs="Times New Roman"/>
          <w:sz w:val="24"/>
          <w:szCs w:val="24"/>
        </w:rPr>
        <w:t>Emerging Pathogens Institute, University of Florida, Gainesville, FL USA</w:t>
      </w:r>
    </w:p>
    <w:p w14:paraId="3DE215FE" w14:textId="3CDAEFF1" w:rsidR="00235B46" w:rsidRPr="00235B46" w:rsidRDefault="00F83A4C" w:rsidP="003F778A">
      <w:pPr>
        <w:spacing w:after="0" w:line="480" w:lineRule="auto"/>
        <w:ind w:firstLine="0"/>
        <w:rPr>
          <w:rFonts w:ascii="Times New Roman" w:hAnsi="Times New Roman" w:cs="Times New Roman"/>
          <w:sz w:val="24"/>
          <w:szCs w:val="24"/>
        </w:rPr>
      </w:pPr>
      <w:r>
        <w:rPr>
          <w:rFonts w:ascii="Times New Roman" w:hAnsi="Times New Roman" w:cs="Times New Roman"/>
          <w:vertAlign w:val="superscript"/>
        </w:rPr>
        <w:t>4</w:t>
      </w:r>
      <w:r w:rsidR="00235B46" w:rsidRPr="00235B46">
        <w:rPr>
          <w:rFonts w:ascii="Times New Roman" w:hAnsi="Times New Roman" w:cs="Times New Roman"/>
          <w:sz w:val="24"/>
          <w:szCs w:val="24"/>
        </w:rPr>
        <w:t>Department of Chest Diseases, Korle-Bu Teaching Hospital, Accra, Ghana</w:t>
      </w:r>
    </w:p>
    <w:p w14:paraId="25728FE9" w14:textId="784C7335" w:rsidR="00235B46" w:rsidRDefault="00F83A4C" w:rsidP="003F778A">
      <w:pPr>
        <w:spacing w:after="0" w:line="480" w:lineRule="auto"/>
        <w:ind w:firstLine="0"/>
        <w:rPr>
          <w:rFonts w:ascii="Times New Roman" w:hAnsi="Times New Roman" w:cs="Times New Roman"/>
          <w:sz w:val="24"/>
          <w:szCs w:val="24"/>
        </w:rPr>
      </w:pPr>
      <w:r>
        <w:rPr>
          <w:rFonts w:ascii="Times New Roman" w:hAnsi="Times New Roman" w:cs="Times New Roman"/>
          <w:sz w:val="24"/>
          <w:szCs w:val="24"/>
          <w:vertAlign w:val="superscript"/>
        </w:rPr>
        <w:t>5</w:t>
      </w:r>
      <w:r w:rsidR="00235B46" w:rsidRPr="00235B46">
        <w:rPr>
          <w:rFonts w:ascii="Times New Roman" w:hAnsi="Times New Roman" w:cs="Times New Roman"/>
          <w:sz w:val="24"/>
          <w:szCs w:val="24"/>
        </w:rPr>
        <w:t>Department of Medicine, University of Ghana Medical School, Accra, Ghana</w:t>
      </w:r>
    </w:p>
    <w:p w14:paraId="1B2C170E" w14:textId="04F84279" w:rsidR="00F83A4C" w:rsidRPr="00F146D7" w:rsidRDefault="00F83A4C" w:rsidP="00F83A4C">
      <w:pPr>
        <w:spacing w:after="0" w:line="480" w:lineRule="auto"/>
        <w:ind w:firstLine="0"/>
        <w:rPr>
          <w:rFonts w:ascii="Times New Roman" w:hAnsi="Times New Roman" w:cs="Times New Roman"/>
        </w:rPr>
      </w:pPr>
      <w:r>
        <w:rPr>
          <w:rFonts w:ascii="Times New Roman" w:hAnsi="Times New Roman" w:cs="Times New Roman"/>
          <w:vertAlign w:val="superscript"/>
        </w:rPr>
        <w:t>6</w:t>
      </w:r>
      <w:r>
        <w:rPr>
          <w:rFonts w:ascii="Times New Roman" w:hAnsi="Times New Roman" w:cs="Times New Roman"/>
        </w:rPr>
        <w:t>Kentucky INBRE Bioinformatics Core, U</w:t>
      </w:r>
      <w:r w:rsidRPr="00F146D7">
        <w:rPr>
          <w:rFonts w:ascii="Times New Roman" w:hAnsi="Times New Roman" w:cs="Times New Roman"/>
        </w:rPr>
        <w:t>niversity of Louisville</w:t>
      </w:r>
      <w:r>
        <w:rPr>
          <w:rFonts w:ascii="Times New Roman" w:hAnsi="Times New Roman" w:cs="Times New Roman"/>
        </w:rPr>
        <w:t xml:space="preserve"> School of Medicine</w:t>
      </w:r>
      <w:r w:rsidRPr="00F146D7">
        <w:rPr>
          <w:rFonts w:ascii="Times New Roman" w:hAnsi="Times New Roman" w:cs="Times New Roman"/>
        </w:rPr>
        <w:t xml:space="preserve">, </w:t>
      </w:r>
      <w:r>
        <w:rPr>
          <w:rFonts w:ascii="Times New Roman" w:hAnsi="Times New Roman" w:cs="Times New Roman"/>
        </w:rPr>
        <w:t>Louisville, Kentucky, USA</w:t>
      </w:r>
    </w:p>
    <w:p w14:paraId="5BCB66D2" w14:textId="13B1E0B6" w:rsidR="00FD4127" w:rsidRDefault="00D97586" w:rsidP="003F778A">
      <w:pPr>
        <w:spacing w:after="0" w:line="480" w:lineRule="auto"/>
        <w:ind w:firstLine="0"/>
        <w:jc w:val="left"/>
        <w:rPr>
          <w:rFonts w:ascii="Times New Roman" w:hAnsi="Times New Roman" w:cs="Times New Roman"/>
          <w:sz w:val="24"/>
          <w:szCs w:val="24"/>
        </w:rPr>
      </w:pPr>
      <w:r>
        <w:rPr>
          <w:rFonts w:ascii="Times New Roman" w:hAnsi="Times New Roman" w:cs="Times New Roman"/>
          <w:sz w:val="24"/>
          <w:szCs w:val="24"/>
          <w:vertAlign w:val="superscript"/>
        </w:rPr>
        <w:t>7</w:t>
      </w:r>
      <w:r w:rsidR="00FD4127" w:rsidRPr="00425689">
        <w:rPr>
          <w:rFonts w:ascii="Times New Roman" w:hAnsi="Times New Roman" w:cs="Times New Roman"/>
          <w:sz w:val="24"/>
          <w:szCs w:val="24"/>
          <w:vertAlign w:val="superscript"/>
        </w:rPr>
        <w:t xml:space="preserve"> </w:t>
      </w:r>
      <w:r w:rsidR="00FD4127" w:rsidRPr="00425689">
        <w:rPr>
          <w:rFonts w:ascii="Times New Roman" w:hAnsi="Times New Roman" w:cs="Times New Roman"/>
          <w:sz w:val="24"/>
          <w:szCs w:val="24"/>
        </w:rPr>
        <w:t>Department of Chest Diseases, Korle-Bu Teaching Hospital, Accra, Ghana</w:t>
      </w:r>
    </w:p>
    <w:p w14:paraId="25347782" w14:textId="0BC15444" w:rsidR="00FD4127" w:rsidRDefault="004F4406" w:rsidP="003F778A">
      <w:pPr>
        <w:spacing w:after="0" w:line="480" w:lineRule="auto"/>
        <w:ind w:firstLine="0"/>
        <w:jc w:val="left"/>
        <w:rPr>
          <w:rFonts w:ascii="Times New Roman" w:hAnsi="Times New Roman" w:cs="Times New Roman"/>
          <w:sz w:val="24"/>
          <w:szCs w:val="24"/>
        </w:rPr>
      </w:pPr>
      <w:r>
        <w:rPr>
          <w:rFonts w:ascii="Times New Roman" w:hAnsi="Times New Roman" w:cs="Times New Roman"/>
          <w:sz w:val="24"/>
          <w:szCs w:val="24"/>
          <w:vertAlign w:val="superscript"/>
        </w:rPr>
        <w:t>8</w:t>
      </w:r>
      <w:r w:rsidR="00FD4127" w:rsidRPr="00425689">
        <w:rPr>
          <w:rFonts w:ascii="Times New Roman" w:hAnsi="Times New Roman" w:cs="Times New Roman"/>
          <w:sz w:val="24"/>
          <w:szCs w:val="24"/>
          <w:vertAlign w:val="superscript"/>
        </w:rPr>
        <w:t xml:space="preserve"> </w:t>
      </w:r>
      <w:r w:rsidR="00FD4127" w:rsidRPr="00425689">
        <w:rPr>
          <w:rFonts w:ascii="Times New Roman" w:hAnsi="Times New Roman" w:cs="Times New Roman"/>
          <w:sz w:val="24"/>
          <w:szCs w:val="24"/>
        </w:rPr>
        <w:t>Chest Clinic TB Laboratory, Department of Chest Diseases, Korle-Bu Teaching Hospital, Accra, Ghana</w:t>
      </w:r>
    </w:p>
    <w:p w14:paraId="1E3BCF1C" w14:textId="69E3423A" w:rsidR="00EF55AC" w:rsidRDefault="00FD4127" w:rsidP="003F778A">
      <w:pPr>
        <w:spacing w:after="0" w:line="480" w:lineRule="auto"/>
        <w:ind w:firstLine="0"/>
        <w:rPr>
          <w:rFonts w:ascii="Times New Roman" w:hAnsi="Times New Roman" w:cs="Times New Roman"/>
          <w:sz w:val="24"/>
          <w:szCs w:val="24"/>
        </w:rPr>
      </w:pPr>
      <w:r w:rsidRPr="00BC7957">
        <w:rPr>
          <w:rFonts w:ascii="Times New Roman" w:hAnsi="Times New Roman" w:cs="Times New Roman"/>
          <w:sz w:val="24"/>
          <w:szCs w:val="24"/>
        </w:rPr>
        <w:sym w:font="Symbol" w:char="F02A"/>
      </w:r>
      <w:r w:rsidR="008D3FF9">
        <w:rPr>
          <w:rFonts w:ascii="Times New Roman" w:hAnsi="Times New Roman" w:cs="Times New Roman"/>
          <w:sz w:val="24"/>
          <w:szCs w:val="24"/>
        </w:rPr>
        <w:t xml:space="preserve"> </w:t>
      </w:r>
      <w:r w:rsidRPr="00425689">
        <w:rPr>
          <w:rFonts w:ascii="Times New Roman" w:hAnsi="Times New Roman" w:cs="Times New Roman"/>
          <w:sz w:val="24"/>
          <w:szCs w:val="24"/>
        </w:rPr>
        <w:t>Corresponding author</w:t>
      </w:r>
    </w:p>
    <w:p w14:paraId="4A7773A0" w14:textId="53A05D45" w:rsidR="00F06D62" w:rsidRDefault="00F06D62" w:rsidP="003F778A">
      <w:pPr>
        <w:spacing w:after="0" w:line="480" w:lineRule="auto"/>
        <w:ind w:firstLine="0"/>
        <w:rPr>
          <w:rFonts w:ascii="Times New Roman" w:hAnsi="Times New Roman" w:cs="Times New Roman"/>
          <w:sz w:val="24"/>
          <w:szCs w:val="24"/>
        </w:rPr>
      </w:pPr>
      <w:r w:rsidRPr="00F06D62">
        <w:rPr>
          <w:rFonts w:ascii="Times New Roman" w:hAnsi="Times New Roman" w:cs="Times New Roman"/>
          <w:b/>
          <w:bCs/>
          <w:sz w:val="24"/>
          <w:szCs w:val="24"/>
        </w:rPr>
        <w:t>Keywords</w:t>
      </w:r>
      <w:r>
        <w:rPr>
          <w:rFonts w:ascii="Times New Roman" w:hAnsi="Times New Roman" w:cs="Times New Roman"/>
          <w:sz w:val="24"/>
          <w:szCs w:val="24"/>
        </w:rPr>
        <w:t>:</w:t>
      </w:r>
      <w:r w:rsidR="00B47C3B">
        <w:rPr>
          <w:rFonts w:ascii="Times New Roman" w:hAnsi="Times New Roman" w:cs="Times New Roman"/>
          <w:sz w:val="24"/>
          <w:szCs w:val="24"/>
        </w:rPr>
        <w:t xml:space="preserve"> </w:t>
      </w:r>
      <w:r w:rsidR="00B47C3B">
        <w:rPr>
          <w:rFonts w:ascii="Times New Roman" w:hAnsi="Times New Roman" w:cs="Times New Roman"/>
          <w:i/>
          <w:iCs/>
          <w:sz w:val="24"/>
          <w:szCs w:val="24"/>
        </w:rPr>
        <w:t>Mycobacterium tuberculosis</w:t>
      </w:r>
      <w:r w:rsidR="00B47C3B">
        <w:rPr>
          <w:rFonts w:ascii="Times New Roman" w:hAnsi="Times New Roman" w:cs="Times New Roman"/>
          <w:sz w:val="24"/>
          <w:szCs w:val="24"/>
        </w:rPr>
        <w:t xml:space="preserve">, whole genome sequencing, within-host diversity, </w:t>
      </w:r>
      <w:r w:rsidR="004637FB">
        <w:rPr>
          <w:rFonts w:ascii="Times New Roman" w:hAnsi="Times New Roman" w:cs="Times New Roman"/>
          <w:sz w:val="24"/>
          <w:szCs w:val="24"/>
        </w:rPr>
        <w:t>intra-host single nucleotide</w:t>
      </w:r>
      <w:r w:rsidR="00B47C3B">
        <w:rPr>
          <w:rFonts w:ascii="Times New Roman" w:hAnsi="Times New Roman" w:cs="Times New Roman"/>
          <w:sz w:val="24"/>
          <w:szCs w:val="24"/>
        </w:rPr>
        <w:t xml:space="preserve"> variants, </w:t>
      </w:r>
      <w:r w:rsidR="004637FB">
        <w:rPr>
          <w:rFonts w:ascii="Times New Roman" w:hAnsi="Times New Roman" w:cs="Times New Roman"/>
          <w:sz w:val="24"/>
          <w:szCs w:val="24"/>
        </w:rPr>
        <w:t>variant calling</w:t>
      </w:r>
      <w:r w:rsidR="00B47C3B">
        <w:rPr>
          <w:rFonts w:ascii="Times New Roman" w:hAnsi="Times New Roman" w:cs="Times New Roman"/>
          <w:sz w:val="24"/>
          <w:szCs w:val="24"/>
        </w:rPr>
        <w:t>, replicate concordance</w:t>
      </w:r>
    </w:p>
    <w:p w14:paraId="63E571D2" w14:textId="7D58171E" w:rsidR="0061401D" w:rsidRDefault="0061401D" w:rsidP="003F778A">
      <w:pPr>
        <w:spacing w:after="0" w:line="480" w:lineRule="auto"/>
        <w:ind w:firstLine="0"/>
        <w:rPr>
          <w:rFonts w:ascii="Times New Roman" w:hAnsi="Times New Roman" w:cs="Times New Roman"/>
          <w:sz w:val="24"/>
          <w:szCs w:val="24"/>
        </w:rPr>
      </w:pPr>
      <w:r w:rsidRPr="0061401D">
        <w:rPr>
          <w:rFonts w:ascii="Times New Roman" w:hAnsi="Times New Roman" w:cs="Times New Roman"/>
          <w:b/>
          <w:bCs/>
          <w:sz w:val="24"/>
          <w:szCs w:val="24"/>
        </w:rPr>
        <w:t>Number of tables</w:t>
      </w:r>
      <w:r>
        <w:rPr>
          <w:rFonts w:ascii="Times New Roman" w:hAnsi="Times New Roman" w:cs="Times New Roman"/>
          <w:sz w:val="24"/>
          <w:szCs w:val="24"/>
        </w:rPr>
        <w:t>:</w:t>
      </w:r>
      <w:r w:rsidR="006D6942">
        <w:rPr>
          <w:rFonts w:ascii="Times New Roman" w:hAnsi="Times New Roman" w:cs="Times New Roman"/>
          <w:sz w:val="24"/>
          <w:szCs w:val="24"/>
        </w:rPr>
        <w:t xml:space="preserve"> </w:t>
      </w:r>
      <w:r w:rsidR="00D35026">
        <w:rPr>
          <w:rFonts w:ascii="Times New Roman" w:hAnsi="Times New Roman" w:cs="Times New Roman"/>
          <w:sz w:val="24"/>
          <w:szCs w:val="24"/>
        </w:rPr>
        <w:t>3</w:t>
      </w:r>
      <w:r w:rsidR="006D6942">
        <w:rPr>
          <w:rFonts w:ascii="Times New Roman" w:hAnsi="Times New Roman" w:cs="Times New Roman"/>
          <w:sz w:val="24"/>
          <w:szCs w:val="24"/>
        </w:rPr>
        <w:t xml:space="preserve"> main; </w:t>
      </w:r>
      <w:r w:rsidR="00E304E9">
        <w:rPr>
          <w:rFonts w:ascii="Times New Roman" w:hAnsi="Times New Roman" w:cs="Times New Roman"/>
          <w:sz w:val="24"/>
          <w:szCs w:val="24"/>
        </w:rPr>
        <w:t xml:space="preserve">4 </w:t>
      </w:r>
      <w:r w:rsidR="006D6942">
        <w:rPr>
          <w:rFonts w:ascii="Times New Roman" w:hAnsi="Times New Roman" w:cs="Times New Roman"/>
          <w:sz w:val="24"/>
          <w:szCs w:val="24"/>
        </w:rPr>
        <w:t>supplementary</w:t>
      </w:r>
    </w:p>
    <w:p w14:paraId="4A5E2161" w14:textId="2B0AAE53" w:rsidR="0061401D" w:rsidRDefault="0061401D" w:rsidP="003F778A">
      <w:pPr>
        <w:spacing w:after="0" w:line="480" w:lineRule="auto"/>
        <w:ind w:firstLine="0"/>
        <w:rPr>
          <w:rFonts w:ascii="Times New Roman" w:hAnsi="Times New Roman" w:cs="Times New Roman"/>
          <w:sz w:val="24"/>
          <w:szCs w:val="24"/>
        </w:rPr>
      </w:pPr>
      <w:r w:rsidRPr="0061401D">
        <w:rPr>
          <w:rFonts w:ascii="Times New Roman" w:hAnsi="Times New Roman" w:cs="Times New Roman"/>
          <w:b/>
          <w:bCs/>
          <w:sz w:val="24"/>
          <w:szCs w:val="24"/>
        </w:rPr>
        <w:t>Number of Figures</w:t>
      </w:r>
      <w:r w:rsidR="00A70AC4">
        <w:rPr>
          <w:rFonts w:ascii="Times New Roman" w:hAnsi="Times New Roman" w:cs="Times New Roman"/>
          <w:sz w:val="24"/>
          <w:szCs w:val="24"/>
        </w:rPr>
        <w:t>:</w:t>
      </w:r>
      <w:r w:rsidR="006D6942">
        <w:rPr>
          <w:rFonts w:ascii="Times New Roman" w:hAnsi="Times New Roman" w:cs="Times New Roman"/>
          <w:sz w:val="24"/>
          <w:szCs w:val="24"/>
        </w:rPr>
        <w:t xml:space="preserve"> 2 main</w:t>
      </w:r>
      <w:r w:rsidR="004031A6">
        <w:rPr>
          <w:rFonts w:ascii="Times New Roman" w:hAnsi="Times New Roman" w:cs="Times New Roman"/>
          <w:sz w:val="24"/>
          <w:szCs w:val="24"/>
        </w:rPr>
        <w:t>; 1 supplementary</w:t>
      </w:r>
    </w:p>
    <w:p w14:paraId="2C1E0A18" w14:textId="3A4EC35B" w:rsidR="0061401D" w:rsidRPr="00A70AC4" w:rsidRDefault="00A70AC4" w:rsidP="003F778A">
      <w:pPr>
        <w:spacing w:after="0" w:line="480" w:lineRule="auto"/>
        <w:ind w:firstLine="0"/>
        <w:rPr>
          <w:rFonts w:ascii="Times New Roman" w:hAnsi="Times New Roman" w:cs="Times New Roman"/>
          <w:sz w:val="24"/>
          <w:szCs w:val="24"/>
        </w:rPr>
      </w:pPr>
      <w:r>
        <w:rPr>
          <w:rFonts w:ascii="Times New Roman" w:hAnsi="Times New Roman" w:cs="Times New Roman"/>
          <w:b/>
          <w:bCs/>
          <w:sz w:val="24"/>
          <w:szCs w:val="24"/>
        </w:rPr>
        <w:t xml:space="preserve">Target journal: </w:t>
      </w:r>
      <w:r>
        <w:rPr>
          <w:rFonts w:ascii="Times New Roman" w:hAnsi="Times New Roman" w:cs="Times New Roman"/>
          <w:sz w:val="24"/>
          <w:szCs w:val="24"/>
        </w:rPr>
        <w:t>Microbial Genomics</w:t>
      </w:r>
      <w:r w:rsidR="008876E2">
        <w:rPr>
          <w:rFonts w:ascii="Times New Roman" w:hAnsi="Times New Roman" w:cs="Times New Roman"/>
          <w:sz w:val="24"/>
          <w:szCs w:val="24"/>
        </w:rPr>
        <w:t xml:space="preserve"> (Short Communication)</w:t>
      </w:r>
    </w:p>
    <w:p w14:paraId="0DBD97B8" w14:textId="77777777" w:rsidR="0061401D" w:rsidRPr="00B47C3B" w:rsidRDefault="0061401D" w:rsidP="00A67D8E">
      <w:pPr>
        <w:spacing w:line="360" w:lineRule="auto"/>
        <w:ind w:firstLine="0"/>
        <w:rPr>
          <w:rFonts w:ascii="Times New Roman" w:hAnsi="Times New Roman" w:cs="Times New Roman"/>
          <w:sz w:val="24"/>
          <w:szCs w:val="24"/>
        </w:rPr>
      </w:pPr>
    </w:p>
    <w:p w14:paraId="449B7EF6" w14:textId="77777777" w:rsidR="00C624D5" w:rsidRDefault="00B415DC">
      <w:pPr>
        <w:spacing w:line="278" w:lineRule="auto"/>
        <w:ind w:firstLine="0"/>
        <w:jc w:val="left"/>
        <w:rPr>
          <w:rFonts w:ascii="Times New Roman" w:hAnsi="Times New Roman" w:cs="Times New Roman"/>
          <w:b/>
          <w:bCs/>
          <w:sz w:val="24"/>
          <w:szCs w:val="24"/>
        </w:rPr>
      </w:pPr>
      <w:r>
        <w:rPr>
          <w:rFonts w:ascii="Times New Roman" w:hAnsi="Times New Roman" w:cs="Times New Roman"/>
          <w:b/>
          <w:bCs/>
          <w:sz w:val="24"/>
          <w:szCs w:val="24"/>
        </w:rPr>
        <w:lastRenderedPageBreak/>
        <w:t>Lay</w:t>
      </w:r>
      <w:r w:rsidR="00C624D5">
        <w:rPr>
          <w:rFonts w:ascii="Times New Roman" w:hAnsi="Times New Roman" w:cs="Times New Roman"/>
          <w:b/>
          <w:bCs/>
          <w:sz w:val="24"/>
          <w:szCs w:val="24"/>
        </w:rPr>
        <w:t xml:space="preserve"> Summary</w:t>
      </w:r>
    </w:p>
    <w:p w14:paraId="46E1912B" w14:textId="02156185" w:rsidR="001E0EA2" w:rsidRDefault="0031067A" w:rsidP="00147847">
      <w:pPr>
        <w:spacing w:line="480" w:lineRule="auto"/>
        <w:ind w:firstLine="0"/>
        <w:jc w:val="left"/>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Tuberculosis (TB) bacteria can vary slightly within a single patient. Bacterial cells in the same person may carry small genetic differences, sometimes affecting only a small fraction of the bacterial population. Studying this kind of within-patient variation matters for understanding how TB responds to treatment and how it spreads between people. Detecting these differences from DNA sequencing means distinguishing real signal from background noise</w:t>
      </w:r>
      <w:r w:rsidR="006F58DF">
        <w:rPr>
          <w:rFonts w:ascii="Times New Roman" w:hAnsi="Times New Roman" w:cs="Times New Roman"/>
          <w:sz w:val="24"/>
          <w:szCs w:val="24"/>
        </w:rPr>
        <w:t xml:space="preserve">. However, the </w:t>
      </w:r>
      <w:r>
        <w:rPr>
          <w:rFonts w:ascii="Times New Roman" w:hAnsi="Times New Roman" w:cs="Times New Roman"/>
          <w:sz w:val="24"/>
          <w:szCs w:val="24"/>
        </w:rPr>
        <w:t>rules used</w:t>
      </w:r>
      <w:r w:rsidR="006F58DF">
        <w:rPr>
          <w:rFonts w:ascii="Times New Roman" w:hAnsi="Times New Roman" w:cs="Times New Roman"/>
          <w:sz w:val="24"/>
          <w:szCs w:val="24"/>
        </w:rPr>
        <w:t xml:space="preserve"> to make that distinction affect which patients are reported</w:t>
      </w:r>
      <w:r w:rsidR="005960A2">
        <w:rPr>
          <w:rFonts w:ascii="Times New Roman" w:hAnsi="Times New Roman" w:cs="Times New Roman"/>
          <w:sz w:val="24"/>
          <w:szCs w:val="24"/>
        </w:rPr>
        <w:t xml:space="preserve"> as carrying mixed bacterial populations. In this study, we developed a method for making that </w:t>
      </w:r>
      <w:r w:rsidR="00147847">
        <w:rPr>
          <w:rFonts w:ascii="Times New Roman" w:hAnsi="Times New Roman" w:cs="Times New Roman"/>
          <w:sz w:val="24"/>
          <w:szCs w:val="24"/>
        </w:rPr>
        <w:t xml:space="preserve">detection </w:t>
      </w:r>
      <w:r w:rsidR="005960A2">
        <w:rPr>
          <w:rFonts w:ascii="Times New Roman" w:hAnsi="Times New Roman" w:cs="Times New Roman"/>
          <w:sz w:val="24"/>
          <w:szCs w:val="24"/>
        </w:rPr>
        <w:t xml:space="preserve">decision </w:t>
      </w:r>
      <w:r w:rsidR="00147847">
        <w:rPr>
          <w:rFonts w:ascii="Times New Roman" w:hAnsi="Times New Roman" w:cs="Times New Roman"/>
          <w:sz w:val="24"/>
          <w:szCs w:val="24"/>
        </w:rPr>
        <w:t xml:space="preserve">more reliably. Most patients gave more than one sputum sample on the same day. We used the agreement between repeat samples from the same patient to pick rules that gave consistent answers. We checked how stable our chosen rules were by repeating the selection on randomly drawn versions of the data, and we report stricter and looser versions of the rule alongside our preferred one. </w:t>
      </w:r>
      <w:r w:rsidR="00184E08">
        <w:rPr>
          <w:rFonts w:ascii="Times New Roman" w:hAnsi="Times New Roman" w:cs="Times New Roman"/>
          <w:sz w:val="24"/>
          <w:szCs w:val="24"/>
        </w:rPr>
        <w:t xml:space="preserve">We applied the method to 97 TB patients. About one in six (16.5%) showed detectable genetic variation within their TB bacterial population using our preferred rule. The same </w:t>
      </w:r>
      <w:r w:rsidR="002263F5">
        <w:rPr>
          <w:rFonts w:ascii="Times New Roman" w:hAnsi="Times New Roman" w:cs="Times New Roman"/>
          <w:sz w:val="24"/>
          <w:szCs w:val="24"/>
        </w:rPr>
        <w:t>rules</w:t>
      </w:r>
      <w:r w:rsidR="00184E08">
        <w:rPr>
          <w:rFonts w:ascii="Times New Roman" w:hAnsi="Times New Roman" w:cs="Times New Roman"/>
          <w:sz w:val="24"/>
          <w:szCs w:val="24"/>
        </w:rPr>
        <w:t xml:space="preserve"> can </w:t>
      </w:r>
      <w:r w:rsidR="00E471A4">
        <w:rPr>
          <w:rFonts w:ascii="Times New Roman" w:hAnsi="Times New Roman" w:cs="Times New Roman"/>
          <w:sz w:val="24"/>
          <w:szCs w:val="24"/>
        </w:rPr>
        <w:t xml:space="preserve">also be applied to other TB studies to check whether they give consistent results when used in a different setting. </w:t>
      </w:r>
      <w:r w:rsidR="00184E08">
        <w:rPr>
          <w:rFonts w:ascii="Times New Roman" w:hAnsi="Times New Roman" w:cs="Times New Roman"/>
          <w:sz w:val="24"/>
          <w:szCs w:val="24"/>
        </w:rPr>
        <w:t xml:space="preserve"> </w:t>
      </w:r>
    </w:p>
    <w:p w14:paraId="094ADE7F" w14:textId="77777777" w:rsidR="001E0EA2" w:rsidRDefault="001E0EA2">
      <w:pPr>
        <w:spacing w:line="278" w:lineRule="auto"/>
        <w:ind w:firstLine="0"/>
        <w:jc w:val="left"/>
        <w:rPr>
          <w:rFonts w:ascii="Times New Roman" w:hAnsi="Times New Roman" w:cs="Times New Roman"/>
          <w:sz w:val="24"/>
          <w:szCs w:val="24"/>
        </w:rPr>
      </w:pPr>
      <w:r>
        <w:rPr>
          <w:rFonts w:ascii="Times New Roman" w:hAnsi="Times New Roman" w:cs="Times New Roman"/>
          <w:sz w:val="24"/>
          <w:szCs w:val="24"/>
        </w:rPr>
        <w:br w:type="page"/>
      </w:r>
    </w:p>
    <w:p w14:paraId="184663F1" w14:textId="77777777" w:rsidR="001E0EA2" w:rsidRDefault="001E0EA2" w:rsidP="001E0EA2">
      <w:pPr>
        <w:spacing w:after="120" w:line="480" w:lineRule="auto"/>
        <w:ind w:firstLine="0"/>
        <w:jc w:val="left"/>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5F74C8B1" w14:textId="77777777" w:rsidR="001E0EA2" w:rsidRDefault="001E0EA2" w:rsidP="001E0EA2">
      <w:pPr>
        <w:spacing w:after="120" w:line="480" w:lineRule="auto"/>
        <w:ind w:firstLine="0"/>
        <w:jc w:val="left"/>
        <w:rPr>
          <w:rFonts w:ascii="Times New Roman" w:hAnsi="Times New Roman" w:cs="Times New Roman"/>
          <w:b/>
          <w:bCs/>
          <w:sz w:val="24"/>
          <w:szCs w:val="24"/>
        </w:rPr>
      </w:pPr>
      <w:r>
        <w:rPr>
          <w:rFonts w:ascii="Times New Roman" w:hAnsi="Times New Roman" w:cs="Times New Roman"/>
          <w:b/>
          <w:bCs/>
          <w:sz w:val="24"/>
          <w:szCs w:val="24"/>
        </w:rPr>
        <w:t xml:space="preserve">Background. </w:t>
      </w:r>
      <w:r>
        <w:rPr>
          <w:rFonts w:ascii="Times New Roman" w:hAnsi="Times New Roman" w:cs="Times New Roman"/>
          <w:sz w:val="24"/>
          <w:szCs w:val="24"/>
        </w:rPr>
        <w:t xml:space="preserve">Intra-host genetic heterogeneity in </w:t>
      </w:r>
      <w:r>
        <w:rPr>
          <w:rFonts w:ascii="Times New Roman" w:hAnsi="Times New Roman" w:cs="Times New Roman"/>
          <w:i/>
          <w:iCs/>
          <w:sz w:val="24"/>
          <w:szCs w:val="24"/>
        </w:rPr>
        <w:t>Mycobacterium tuberculosis</w:t>
      </w:r>
      <w:r>
        <w:rPr>
          <w:rFonts w:ascii="Times New Roman" w:hAnsi="Times New Roman" w:cs="Times New Roman"/>
          <w:sz w:val="24"/>
          <w:szCs w:val="24"/>
        </w:rPr>
        <w:t xml:space="preserve"> is biologically and clinically informative, but its detection from short read whole genome sequencing depends on thresholds over read depth (DP), alternate allele support (AD), and minor allele frequency (MAF) that are rarely empirically anchored. </w:t>
      </w:r>
    </w:p>
    <w:p w14:paraId="1E440914" w14:textId="26CF63CA" w:rsidR="001E0EA2" w:rsidRDefault="001E0EA2" w:rsidP="001E0EA2">
      <w:pPr>
        <w:spacing w:after="120" w:line="480" w:lineRule="auto"/>
        <w:ind w:firstLine="0"/>
        <w:jc w:val="left"/>
        <w:rPr>
          <w:rFonts w:ascii="Times New Roman" w:hAnsi="Times New Roman" w:cs="Times New Roman"/>
          <w:b/>
          <w:bCs/>
          <w:sz w:val="24"/>
          <w:szCs w:val="24"/>
        </w:rPr>
      </w:pPr>
      <w:r>
        <w:rPr>
          <w:rFonts w:ascii="Times New Roman" w:hAnsi="Times New Roman" w:cs="Times New Roman"/>
          <w:b/>
          <w:bCs/>
          <w:sz w:val="24"/>
          <w:szCs w:val="24"/>
        </w:rPr>
        <w:t>Methods.</w:t>
      </w:r>
      <w:r>
        <w:rPr>
          <w:rFonts w:ascii="Times New Roman" w:hAnsi="Times New Roman" w:cs="Times New Roman"/>
          <w:sz w:val="24"/>
          <w:szCs w:val="24"/>
        </w:rPr>
        <w:t xml:space="preserve"> We developed a replicate-anchored, lexicographic calibration framework for per-specimen intra-host single nucleotide variant (iSNV) detection. Within-patient replicate sputum pairs from a pre-treatment tuberculosis (TB) cohort were scored across the joint (DP, AD, MAF) grid on six concordance metrics; the selector penalized </w:t>
      </w:r>
      <w:r w:rsidR="00E86AD6">
        <w:rPr>
          <w:rFonts w:ascii="Times New Roman" w:hAnsi="Times New Roman" w:cs="Times New Roman"/>
          <w:sz w:val="24"/>
          <w:szCs w:val="24"/>
        </w:rPr>
        <w:t>cells</w:t>
      </w:r>
      <w:r w:rsidR="00341DEE">
        <w:rPr>
          <w:rFonts w:ascii="Times New Roman" w:hAnsi="Times New Roman" w:cs="Times New Roman"/>
          <w:sz w:val="24"/>
          <w:szCs w:val="24"/>
        </w:rPr>
        <w:t xml:space="preserve"> where no replicate pair shares any variant</w:t>
      </w:r>
      <w:r>
        <w:rPr>
          <w:rFonts w:ascii="Times New Roman" w:hAnsi="Times New Roman" w:cs="Times New Roman"/>
          <w:sz w:val="24"/>
          <w:szCs w:val="24"/>
        </w:rPr>
        <w:t xml:space="preserve"> and ranked cells by reproducibility, with </w:t>
      </w:r>
      <w:r w:rsidR="001D6B28">
        <w:rPr>
          <w:rFonts w:ascii="Times New Roman" w:hAnsi="Times New Roman" w:cs="Times New Roman"/>
          <w:sz w:val="24"/>
          <w:szCs w:val="24"/>
        </w:rPr>
        <w:t>number of variants</w:t>
      </w:r>
      <w:r w:rsidR="00994599">
        <w:rPr>
          <w:rFonts w:ascii="Times New Roman" w:hAnsi="Times New Roman" w:cs="Times New Roman"/>
          <w:sz w:val="24"/>
          <w:szCs w:val="24"/>
        </w:rPr>
        <w:t xml:space="preserve"> called</w:t>
      </w:r>
      <w:r>
        <w:rPr>
          <w:rFonts w:ascii="Times New Roman" w:hAnsi="Times New Roman" w:cs="Times New Roman"/>
          <w:sz w:val="24"/>
          <w:szCs w:val="24"/>
        </w:rPr>
        <w:t xml:space="preserve"> as a tiebreaker. Selection stability was quantified by B=1</w:t>
      </w:r>
      <w:r w:rsidR="004B6392">
        <w:rPr>
          <w:rFonts w:ascii="Times New Roman" w:hAnsi="Times New Roman" w:cs="Times New Roman"/>
          <w:sz w:val="24"/>
          <w:szCs w:val="24"/>
        </w:rPr>
        <w:t>,</w:t>
      </w:r>
      <w:r>
        <w:rPr>
          <w:rFonts w:ascii="Times New Roman" w:hAnsi="Times New Roman" w:cs="Times New Roman"/>
          <w:sz w:val="24"/>
          <w:szCs w:val="24"/>
        </w:rPr>
        <w:t>000 nonparametric bootstrap resamples of replicate pairs, defining a Loose</w:t>
      </w:r>
      <w:r w:rsidR="007D1224">
        <w:rPr>
          <w:rFonts w:ascii="Times New Roman" w:hAnsi="Times New Roman" w:cs="Times New Roman"/>
          <w:sz w:val="24"/>
          <w:szCs w:val="24"/>
        </w:rPr>
        <w:t>r</w:t>
      </w:r>
      <w:r>
        <w:rPr>
          <w:rFonts w:ascii="Times New Roman" w:hAnsi="Times New Roman" w:cs="Times New Roman"/>
          <w:sz w:val="24"/>
          <w:szCs w:val="24"/>
        </w:rPr>
        <w:t xml:space="preserve">/Primary/Tighter sensitivity ladder. The calibrated rule was applied to 97 patients contributing 282 cultured sputum specimens. </w:t>
      </w:r>
    </w:p>
    <w:p w14:paraId="331D0D19" w14:textId="77777777" w:rsidR="001E0EA2" w:rsidRDefault="001E0EA2" w:rsidP="001E0EA2">
      <w:pPr>
        <w:spacing w:after="120" w:line="480" w:lineRule="auto"/>
        <w:ind w:firstLine="0"/>
        <w:jc w:val="left"/>
        <w:rPr>
          <w:rFonts w:ascii="Times New Roman" w:hAnsi="Times New Roman" w:cs="Times New Roman"/>
          <w:b/>
          <w:bCs/>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Calibration on 169 replicate pairs from 67 patients identified a Primary cell at </w:t>
      </w:r>
      <w:r>
        <w:rPr>
          <w:rFonts w:ascii="Times New Roman" w:eastAsiaTheme="minorEastAsia" w:hAnsi="Times New Roman" w:cs="Times New Roman"/>
          <w:sz w:val="24"/>
          <w:szCs w:val="24"/>
        </w:rPr>
        <w:t>DP</w:t>
      </w:r>
      <w:r w:rsidRPr="0045181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60x, AD1 </w:t>
      </w:r>
      <w:r w:rsidRPr="0045181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3, MAF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[0.02, 0.50]. The bootstrap modal cell coincided with the Primary cell in 45.7% of 703 successful replications (MAF = 0.02 in 100%; AD = 3 in 90.2%). Per-patient prevalence of detectable within-host diversity at the Primary tier was 16.5% (16/97, Wilson 95% CI: 10.4% - 25.1%); Looser and Tighter tiers yielded comparable rates. </w:t>
      </w:r>
    </w:p>
    <w:p w14:paraId="7C8C40D6" w14:textId="77777777" w:rsidR="001E0EA2" w:rsidRDefault="001E0EA2" w:rsidP="001E0EA2">
      <w:pPr>
        <w:spacing w:after="120" w:line="480" w:lineRule="auto"/>
        <w:ind w:firstLine="0"/>
        <w:jc w:val="left"/>
        <w:rPr>
          <w:rFonts w:ascii="Times New Roman" w:hAnsi="Times New Roman" w:cs="Times New Roman"/>
          <w:b/>
          <w:bCs/>
          <w:sz w:val="24"/>
          <w:szCs w:val="24"/>
        </w:rPr>
      </w:pPr>
      <w:r>
        <w:rPr>
          <w:rFonts w:ascii="Times New Roman" w:hAnsi="Times New Roman" w:cs="Times New Roman"/>
          <w:b/>
          <w:bCs/>
          <w:sz w:val="24"/>
          <w:szCs w:val="24"/>
        </w:rPr>
        <w:t>Conclusion.</w:t>
      </w:r>
      <w:r>
        <w:rPr>
          <w:rFonts w:ascii="Times New Roman" w:hAnsi="Times New Roman" w:cs="Times New Roman"/>
          <w:sz w:val="24"/>
          <w:szCs w:val="24"/>
        </w:rPr>
        <w:t xml:space="preserve"> Within-patient replicate concordance provides a reproducible empirical anchor for iSNV detection thresholds in TB whole genome sequencing. The framework is internally calibrated and reported with explicit sensitivity tiers; the calibrated rule can be applied to external cohorts as a direct test of transferability. </w:t>
      </w:r>
    </w:p>
    <w:p w14:paraId="6C7B1EE0" w14:textId="77777777" w:rsidR="005265E2" w:rsidRDefault="005265E2" w:rsidP="005265E2">
      <w:pPr>
        <w:spacing w:line="480" w:lineRule="auto"/>
        <w:ind w:firstLine="0"/>
        <w:jc w:val="left"/>
        <w:rPr>
          <w:rFonts w:ascii="Times New Roman" w:hAnsi="Times New Roman" w:cs="Times New Roman"/>
          <w:b/>
          <w:bCs/>
          <w:sz w:val="24"/>
          <w:szCs w:val="24"/>
        </w:rPr>
      </w:pPr>
      <w:r>
        <w:rPr>
          <w:rFonts w:ascii="Times New Roman" w:hAnsi="Times New Roman" w:cs="Times New Roman"/>
          <w:b/>
          <w:bCs/>
          <w:sz w:val="24"/>
          <w:szCs w:val="24"/>
        </w:rPr>
        <w:lastRenderedPageBreak/>
        <w:t>Data Summary</w:t>
      </w:r>
    </w:p>
    <w:p w14:paraId="4A5C5B08" w14:textId="71712F7B" w:rsidR="005265E2" w:rsidRPr="005B355E" w:rsidRDefault="005265E2" w:rsidP="005265E2">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 xml:space="preserve">Raw paired-end Illumina whole genome sequencing reads for the 282 </w:t>
      </w:r>
      <w:r>
        <w:rPr>
          <w:rFonts w:ascii="Times New Roman" w:hAnsi="Times New Roman" w:cs="Times New Roman"/>
          <w:i/>
          <w:iCs/>
        </w:rPr>
        <w:t>Mycobacterium tuberculosis</w:t>
      </w:r>
      <w:r>
        <w:rPr>
          <w:rFonts w:ascii="Times New Roman" w:hAnsi="Times New Roman" w:cs="Times New Roman"/>
        </w:rPr>
        <w:t xml:space="preserve"> </w:t>
      </w:r>
      <w:r w:rsidR="00DB10D1">
        <w:rPr>
          <w:rFonts w:ascii="Times New Roman" w:hAnsi="Times New Roman" w:cs="Times New Roman"/>
        </w:rPr>
        <w:t>genomes</w:t>
      </w:r>
      <w:r>
        <w:rPr>
          <w:rFonts w:ascii="Times New Roman" w:hAnsi="Times New Roman" w:cs="Times New Roman"/>
        </w:rPr>
        <w:t xml:space="preserve"> analyzed in this study have been deposited at the NCBI Sequence Research Archive (SRA) under BioProject accession [</w:t>
      </w:r>
      <w:r w:rsidRPr="005B355E">
        <w:rPr>
          <w:rFonts w:ascii="Times New Roman" w:hAnsi="Times New Roman" w:cs="Times New Roman"/>
          <w:highlight w:val="yellow"/>
        </w:rPr>
        <w:t>PRJNA#####</w:t>
      </w:r>
      <w:r>
        <w:rPr>
          <w:rFonts w:ascii="Times New Roman" w:hAnsi="Times New Roman" w:cs="Times New Roman"/>
        </w:rPr>
        <w:t>]. Per-sample run accessions and corresponding metadata are provided in [</w:t>
      </w:r>
      <w:r w:rsidRPr="005B355E">
        <w:rPr>
          <w:rFonts w:ascii="Times New Roman" w:hAnsi="Times New Roman" w:cs="Times New Roman"/>
          <w:highlight w:val="yellow"/>
        </w:rPr>
        <w:t>Supplementary Table S1/Supplementary Data S1</w:t>
      </w:r>
      <w:r>
        <w:rPr>
          <w:rFonts w:ascii="Times New Roman" w:hAnsi="Times New Roman" w:cs="Times New Roman"/>
        </w:rPr>
        <w:t>].</w:t>
      </w:r>
    </w:p>
    <w:p w14:paraId="541D0BDC" w14:textId="77777777" w:rsidR="005265E2" w:rsidRPr="00162E31" w:rsidRDefault="005265E2" w:rsidP="005265E2">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 xml:space="preserve">The </w:t>
      </w:r>
      <w:r>
        <w:rPr>
          <w:rFonts w:ascii="Times New Roman" w:hAnsi="Times New Roman" w:cs="Times New Roman"/>
          <w:i/>
          <w:iCs/>
        </w:rPr>
        <w:t>M. tuberculosis</w:t>
      </w:r>
      <w:r>
        <w:rPr>
          <w:rFonts w:ascii="Times New Roman" w:hAnsi="Times New Roman" w:cs="Times New Roman"/>
        </w:rPr>
        <w:t xml:space="preserve"> H37Rv reference genome used for read alignment is available from GenBank under accession NC_000962.3.</w:t>
      </w:r>
    </w:p>
    <w:p w14:paraId="795CDB79" w14:textId="77777777" w:rsidR="005265E2" w:rsidRPr="00D5724C" w:rsidRDefault="005265E2" w:rsidP="005265E2">
      <w:pPr>
        <w:pStyle w:val="ListParagraph"/>
        <w:numPr>
          <w:ilvl w:val="0"/>
          <w:numId w:val="1"/>
        </w:numPr>
        <w:spacing w:line="480" w:lineRule="auto"/>
        <w:rPr>
          <w:rFonts w:ascii="Times New Roman" w:hAnsi="Times New Roman" w:cs="Times New Roman"/>
          <w:b/>
          <w:bCs/>
        </w:rPr>
      </w:pPr>
      <w:r>
        <w:rPr>
          <w:rFonts w:ascii="Times New Roman" w:hAnsi="Times New Roman" w:cs="Times New Roman"/>
        </w:rPr>
        <w:t xml:space="preserve">The full analysis pipeline (R), calibration scripts, application scripts, parameter files, and derived data tables that reproduce all reported results, main figures, and supplementary materials are available at </w:t>
      </w:r>
      <w:hyperlink r:id="rId5" w:history="1">
        <w:r w:rsidRPr="00DF4D14">
          <w:rPr>
            <w:rStyle w:val="Hyperlink"/>
            <w:rFonts w:ascii="Times New Roman" w:eastAsiaTheme="minorEastAsia" w:hAnsi="Times New Roman" w:cs="Times New Roman"/>
          </w:rPr>
          <w:t>https://github.com/mnseraphin/Mtb_isnv_detection_calibration</w:t>
        </w:r>
      </w:hyperlink>
      <w:r>
        <w:rPr>
          <w:rFonts w:ascii="Times New Roman" w:eastAsiaTheme="minorEastAsia" w:hAnsi="Times New Roman" w:cs="Times New Roman"/>
        </w:rPr>
        <w:t>. A versioned snapshot of the repository at the time of manuscript submission is archived at Zenodo under DOI [</w:t>
      </w:r>
      <w:r w:rsidRPr="00D5724C">
        <w:rPr>
          <w:rFonts w:ascii="Times New Roman" w:eastAsiaTheme="minorEastAsia" w:hAnsi="Times New Roman" w:cs="Times New Roman"/>
          <w:highlight w:val="yellow"/>
        </w:rPr>
        <w:t>10.5281/</w:t>
      </w:r>
      <w:proofErr w:type="spellStart"/>
      <w:proofErr w:type="gramStart"/>
      <w:r w:rsidRPr="00D5724C">
        <w:rPr>
          <w:rFonts w:ascii="Times New Roman" w:eastAsiaTheme="minorEastAsia" w:hAnsi="Times New Roman" w:cs="Times New Roman"/>
          <w:highlight w:val="yellow"/>
        </w:rPr>
        <w:t>zenodo</w:t>
      </w:r>
      <w:proofErr w:type="spellEnd"/>
      <w:r w:rsidRPr="00D5724C">
        <w:rPr>
          <w:rFonts w:ascii="Times New Roman" w:eastAsiaTheme="minorEastAsia" w:hAnsi="Times New Roman" w:cs="Times New Roman"/>
          <w:highlight w:val="yellow"/>
        </w:rPr>
        <w:t>.#</w:t>
      </w:r>
      <w:proofErr w:type="gramEnd"/>
      <w:r w:rsidRPr="00D5724C">
        <w:rPr>
          <w:rFonts w:ascii="Times New Roman" w:eastAsiaTheme="minorEastAsia" w:hAnsi="Times New Roman" w:cs="Times New Roman"/>
          <w:highlight w:val="yellow"/>
        </w:rPr>
        <w:t>###]</w:t>
      </w:r>
      <w:r>
        <w:rPr>
          <w:rFonts w:ascii="Times New Roman" w:eastAsiaTheme="minorEastAsia" w:hAnsi="Times New Roman" w:cs="Times New Roman"/>
        </w:rPr>
        <w:t>.</w:t>
      </w:r>
    </w:p>
    <w:p w14:paraId="7A5CA804" w14:textId="77777777" w:rsidR="005265E2" w:rsidRPr="00D97EA1" w:rsidRDefault="005265E2" w:rsidP="005265E2">
      <w:pPr>
        <w:pStyle w:val="ListParagraph"/>
        <w:numPr>
          <w:ilvl w:val="0"/>
          <w:numId w:val="1"/>
        </w:numPr>
        <w:spacing w:line="480" w:lineRule="auto"/>
        <w:rPr>
          <w:rFonts w:ascii="Times New Roman" w:hAnsi="Times New Roman" w:cs="Times New Roman"/>
          <w:b/>
          <w:bCs/>
        </w:rPr>
      </w:pPr>
      <w:r>
        <w:rPr>
          <w:rFonts w:ascii="Times New Roman" w:eastAsiaTheme="minorEastAsia" w:hAnsi="Times New Roman" w:cs="Times New Roman"/>
        </w:rPr>
        <w:t>Supplementary Tables S1-S5 and Supplementary Figure S1 are provided as supplementary files alongside the article.</w:t>
      </w:r>
    </w:p>
    <w:p w14:paraId="2214639A" w14:textId="4FA6936B" w:rsidR="00B415DC" w:rsidRDefault="005265E2" w:rsidP="005265E2">
      <w:pPr>
        <w:spacing w:line="480" w:lineRule="auto"/>
        <w:ind w:firstLine="0"/>
        <w:jc w:val="left"/>
        <w:rPr>
          <w:rFonts w:ascii="Times New Roman" w:hAnsi="Times New Roman" w:cs="Times New Roman"/>
          <w:b/>
          <w:bCs/>
          <w:sz w:val="24"/>
          <w:szCs w:val="24"/>
        </w:rPr>
      </w:pPr>
      <w:r>
        <w:rPr>
          <w:rFonts w:ascii="Times New Roman" w:hAnsi="Times New Roman" w:cs="Times New Roman"/>
        </w:rPr>
        <w:t xml:space="preserve">The authors confirm that all supporting data, code and protocols have been provided within the article or through the cited public repositories. </w:t>
      </w:r>
      <w:r w:rsidR="00B415DC">
        <w:rPr>
          <w:rFonts w:ascii="Times New Roman" w:hAnsi="Times New Roman" w:cs="Times New Roman"/>
          <w:b/>
          <w:bCs/>
          <w:sz w:val="24"/>
          <w:szCs w:val="24"/>
        </w:rPr>
        <w:br w:type="page"/>
      </w:r>
    </w:p>
    <w:p w14:paraId="72E38B34" w14:textId="77777777" w:rsidR="00F6401F" w:rsidRDefault="00F6401F">
      <w:pPr>
        <w:spacing w:line="278" w:lineRule="auto"/>
        <w:ind w:firstLine="0"/>
        <w:jc w:val="left"/>
        <w:rPr>
          <w:rFonts w:ascii="Times New Roman" w:hAnsi="Times New Roman" w:cs="Times New Roman"/>
          <w:b/>
          <w:bCs/>
          <w:sz w:val="24"/>
          <w:szCs w:val="24"/>
        </w:rPr>
      </w:pPr>
      <w:r>
        <w:rPr>
          <w:rFonts w:ascii="Times New Roman" w:hAnsi="Times New Roman" w:cs="Times New Roman"/>
          <w:b/>
          <w:bCs/>
          <w:sz w:val="24"/>
          <w:szCs w:val="24"/>
        </w:rPr>
        <w:lastRenderedPageBreak/>
        <w:t>Impact Statement</w:t>
      </w:r>
    </w:p>
    <w:p w14:paraId="36B2F301" w14:textId="77777777" w:rsidR="00E9638F" w:rsidRDefault="00F6401F" w:rsidP="00543C74">
      <w:pPr>
        <w:spacing w:line="480" w:lineRule="auto"/>
        <w:ind w:firstLine="0"/>
        <w:jc w:val="left"/>
        <w:rPr>
          <w:rFonts w:ascii="Times New Roman" w:hAnsi="Times New Roman" w:cs="Times New Roman"/>
          <w:sz w:val="24"/>
          <w:szCs w:val="24"/>
        </w:rPr>
      </w:pPr>
      <w:r>
        <w:rPr>
          <w:rFonts w:ascii="Times New Roman" w:hAnsi="Times New Roman" w:cs="Times New Roman"/>
          <w:b/>
          <w:bCs/>
          <w:sz w:val="24"/>
          <w:szCs w:val="24"/>
        </w:rPr>
        <w:tab/>
      </w:r>
      <w:r w:rsidR="00A634E1">
        <w:rPr>
          <w:rFonts w:ascii="Times New Roman" w:hAnsi="Times New Roman" w:cs="Times New Roman"/>
          <w:sz w:val="24"/>
          <w:szCs w:val="24"/>
        </w:rPr>
        <w:t xml:space="preserve">Within-host genetic diversity in </w:t>
      </w:r>
      <w:r w:rsidR="00A634E1">
        <w:rPr>
          <w:rFonts w:ascii="Times New Roman" w:hAnsi="Times New Roman" w:cs="Times New Roman"/>
          <w:i/>
          <w:iCs/>
          <w:sz w:val="24"/>
          <w:szCs w:val="24"/>
        </w:rPr>
        <w:t>Mycobacterium tuberculosis</w:t>
      </w:r>
      <w:r w:rsidR="00A634E1">
        <w:rPr>
          <w:rFonts w:ascii="Times New Roman" w:hAnsi="Times New Roman" w:cs="Times New Roman"/>
          <w:sz w:val="24"/>
          <w:szCs w:val="24"/>
        </w:rPr>
        <w:t xml:space="preserve"> is increasingly used to study transmission, treatment response, and resistance emergence. The bioinformatic thresholds </w:t>
      </w:r>
      <w:r w:rsidR="007E0EF1">
        <w:rPr>
          <w:rFonts w:ascii="Times New Roman" w:hAnsi="Times New Roman" w:cs="Times New Roman"/>
          <w:sz w:val="24"/>
          <w:szCs w:val="24"/>
        </w:rPr>
        <w:t xml:space="preserve">that distinguish low-frequency variants from sequencing noise vary widely across published TB studies and are rarely empirically justified, thus reshaping which patients are reported as harboring detectable diversity. We provide </w:t>
      </w:r>
      <w:r w:rsidR="00B50886">
        <w:rPr>
          <w:rFonts w:ascii="Times New Roman" w:hAnsi="Times New Roman" w:cs="Times New Roman"/>
          <w:sz w:val="24"/>
          <w:szCs w:val="24"/>
        </w:rPr>
        <w:t xml:space="preserve">a replicate-anchored calibration framework that ties threshold selection to within-patient replicate concordance, quantifies stability under resampling, and reports explicit sensitivity tiers. Applied to 97 TB patients, the calibrated rule identifies 16.5% as carrying detectable within-host variation. The framework is transferable to other TB cohorts as a transparent basis for cross-study comparison. </w:t>
      </w:r>
    </w:p>
    <w:p w14:paraId="3A731F07" w14:textId="77777777" w:rsidR="00E9638F" w:rsidRDefault="00E9638F">
      <w:pPr>
        <w:spacing w:line="278" w:lineRule="auto"/>
        <w:ind w:firstLine="0"/>
        <w:jc w:val="left"/>
        <w:rPr>
          <w:rFonts w:ascii="Times New Roman" w:hAnsi="Times New Roman" w:cs="Times New Roman"/>
          <w:sz w:val="24"/>
          <w:szCs w:val="24"/>
        </w:rPr>
      </w:pPr>
      <w:r>
        <w:rPr>
          <w:rFonts w:ascii="Times New Roman" w:hAnsi="Times New Roman" w:cs="Times New Roman"/>
          <w:sz w:val="24"/>
          <w:szCs w:val="24"/>
        </w:rPr>
        <w:br w:type="page"/>
      </w:r>
    </w:p>
    <w:p w14:paraId="6B3425AF" w14:textId="77777777" w:rsidR="00B06416" w:rsidRDefault="00B415DC" w:rsidP="007314EA">
      <w:pPr>
        <w:spacing w:after="0" w:line="480" w:lineRule="auto"/>
        <w:ind w:firstLine="0"/>
        <w:jc w:val="left"/>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7AF975D9" w14:textId="0A717B84" w:rsidR="00C13625" w:rsidRDefault="00277980" w:rsidP="007314EA">
      <w:pPr>
        <w:spacing w:after="0" w:line="480" w:lineRule="auto"/>
        <w:ind w:firstLine="0"/>
        <w:jc w:val="left"/>
        <w:rPr>
          <w:rFonts w:ascii="Times New Roman" w:hAnsi="Times New Roman" w:cs="Times New Roman"/>
          <w:sz w:val="24"/>
          <w:szCs w:val="24"/>
        </w:rPr>
      </w:pPr>
      <w:r>
        <w:rPr>
          <w:rFonts w:ascii="Times New Roman" w:hAnsi="Times New Roman" w:cs="Times New Roman"/>
          <w:b/>
          <w:bCs/>
          <w:sz w:val="24"/>
          <w:szCs w:val="24"/>
        </w:rPr>
        <w:tab/>
      </w:r>
      <w:r w:rsidR="00D953D6">
        <w:rPr>
          <w:rFonts w:ascii="Times New Roman" w:hAnsi="Times New Roman" w:cs="Times New Roman"/>
          <w:sz w:val="24"/>
          <w:szCs w:val="24"/>
        </w:rPr>
        <w:t xml:space="preserve">Within-host genetic </w:t>
      </w:r>
      <w:r w:rsidR="00BB15AD">
        <w:rPr>
          <w:rFonts w:ascii="Times New Roman" w:hAnsi="Times New Roman" w:cs="Times New Roman"/>
          <w:sz w:val="24"/>
          <w:szCs w:val="24"/>
        </w:rPr>
        <w:t>diversity</w:t>
      </w:r>
      <w:r w:rsidR="00D953D6">
        <w:rPr>
          <w:rFonts w:ascii="Times New Roman" w:hAnsi="Times New Roman" w:cs="Times New Roman"/>
          <w:sz w:val="24"/>
          <w:szCs w:val="24"/>
        </w:rPr>
        <w:t xml:space="preserve"> in </w:t>
      </w:r>
      <w:r w:rsidR="00D953D6">
        <w:rPr>
          <w:rFonts w:ascii="Times New Roman" w:hAnsi="Times New Roman" w:cs="Times New Roman"/>
          <w:i/>
          <w:iCs/>
          <w:sz w:val="24"/>
          <w:szCs w:val="24"/>
        </w:rPr>
        <w:t>Mycobacterium tuberculosis</w:t>
      </w:r>
      <w:r w:rsidR="00D953D6">
        <w:rPr>
          <w:rFonts w:ascii="Times New Roman" w:hAnsi="Times New Roman" w:cs="Times New Roman"/>
          <w:sz w:val="24"/>
          <w:szCs w:val="24"/>
        </w:rPr>
        <w:t xml:space="preserve"> has been documented in autopsy series</w:t>
      </w:r>
      <w:r w:rsidR="00DB71EA">
        <w:rPr>
          <w:rFonts w:ascii="Times New Roman" w:hAnsi="Times New Roman" w:cs="Times New Roman"/>
          <w:sz w:val="24"/>
          <w:szCs w:val="24"/>
        </w:rPr>
        <w:fldChar w:fldCharType="begin"/>
      </w:r>
      <w:r w:rsidR="00DB71EA">
        <w:rPr>
          <w:rFonts w:ascii="Times New Roman" w:hAnsi="Times New Roman" w:cs="Times New Roman"/>
          <w:sz w:val="24"/>
          <w:szCs w:val="24"/>
        </w:rPr>
        <w:instrText xml:space="preserve"> ADDIN ZOTERO_ITEM CSL_CITATION {"citationID":"z0dIi576","properties":{"unsorted":false,"formattedCitation":"\\super 1\\nosupersub{}","plainCitation":"1","noteIndex":0},"citationItems":[{"id":184,"uris":["http://zotero.org/users/56896/items/BUJ2AL9M","http://zotero.org/users/56896/items/YNG5DQNL"],"itemData":{"id":184,"type":"article-journal","abstract":"Mycobacterium tuberculosis remains a leading cause of death worldwide, especially among individuals infected with HIV1. Whereas phylogenetic analysis has revealed M. tuberculosis spread throughout history2,3,4,5 and in local outbreaks6,7,8, much less is understood about its dissemination within the body. Here we report genomic analysis of 2,693 samples collected post mortem from lung and extrapulmonary biopsies of 44 subjects in KwaZulu-Natal, South Africa, who received minimal antitubercular treatment and most of whom were HIV seropositive. We found that purifying selection occurred within individual patients, without the need for patient-to-patient transmission. Despite negative selection, mycobacteria diversified within individuals to form sublineages that co-existed for years. These sublineages, as well as distinct strains from mixed infections, were differentially distributed throughout the lung, suggesting temporary barriers to pathogen migration. As a consequence, samples taken from the upper airway often captured only a fraction of the population diversity, challenging current methods of outbreak tracing and resistance diagnostics. Phylogenetic analysis indicated that dissemination from the lungs to extrapulmonary sites was as frequent as between lung sites, supporting the idea of similar migration routes within and between organs, at least in subjects with HIV. Genomic diversity therefore provides a record of pathogen diversification and repeated dissemination across the body.","container-title":"Nature Medicine","DOI":"10.1038/nm.4205","ISSN":"1546-170X","issue":"12","language":"en","license":"2016 Nature Publishing Group","page":"1470-1474","source":"www.nature.com","title":"Genomic diversity in autopsy samples reveals within-host dissemination of HIV-associated &lt;i&gt;Mycobacterium tuberculosis&lt;/i&gt;","volume":"22","author":[{"family":"Lieberman","given":"Tami D."},{"family":"Wilson","given":"Douglas"},{"family":"Misra","given":"Reshma"},{"family":"Xiong","given":"Lealia L."},{"family":"Moodley","given":"Prashini"},{"family":"Cohen","given":"Ted"},{"family":"Kishony","given":"Roy"}],"issued":{"date-parts":[["2016",12]]}}}],"schema":"https://github.com/citation-style-language/schema/raw/master/csl-citation.json"} </w:instrText>
      </w:r>
      <w:r w:rsidR="00DB71EA">
        <w:rPr>
          <w:rFonts w:ascii="Times New Roman" w:hAnsi="Times New Roman" w:cs="Times New Roman"/>
          <w:sz w:val="24"/>
          <w:szCs w:val="24"/>
        </w:rPr>
        <w:fldChar w:fldCharType="separate"/>
      </w:r>
      <w:r w:rsidR="00DB71EA" w:rsidRPr="00DB71EA">
        <w:rPr>
          <w:rFonts w:ascii="Times New Roman" w:hAnsi="Times New Roman" w:cs="Times New Roman"/>
          <w:kern w:val="0"/>
          <w:sz w:val="24"/>
          <w:szCs w:val="24"/>
          <w:vertAlign w:val="superscript"/>
        </w:rPr>
        <w:t>1</w:t>
      </w:r>
      <w:r w:rsidR="00DB71EA">
        <w:rPr>
          <w:rFonts w:ascii="Times New Roman" w:hAnsi="Times New Roman" w:cs="Times New Roman"/>
          <w:sz w:val="24"/>
          <w:szCs w:val="24"/>
        </w:rPr>
        <w:fldChar w:fldCharType="end"/>
      </w:r>
      <w:r w:rsidR="00DB71EA">
        <w:rPr>
          <w:rFonts w:ascii="Times New Roman" w:hAnsi="Times New Roman" w:cs="Times New Roman"/>
          <w:sz w:val="24"/>
          <w:szCs w:val="24"/>
        </w:rPr>
        <w:t>, longitudinal sputum cohorts</w:t>
      </w:r>
      <w:r w:rsidR="00DB71EA">
        <w:rPr>
          <w:rFonts w:ascii="Times New Roman" w:hAnsi="Times New Roman" w:cs="Times New Roman"/>
          <w:sz w:val="24"/>
          <w:szCs w:val="24"/>
        </w:rPr>
        <w:fldChar w:fldCharType="begin"/>
      </w:r>
      <w:r w:rsidR="00967450">
        <w:rPr>
          <w:rFonts w:ascii="Times New Roman" w:hAnsi="Times New Roman" w:cs="Times New Roman"/>
          <w:sz w:val="24"/>
          <w:szCs w:val="24"/>
        </w:rPr>
        <w:instrText xml:space="preserve"> ADDIN ZOTERO_ITEM CSL_CITATION {"citationID":"bTnUbimQ","properties":{"unsorted":false,"formattedCitation":"\\super 2\\nosupersub{}","plainCitation":"2","noteIndex":0},"citationItems":[{"id":179,"uris":["http://zotero.org/users/56896/items/IZUSELBU","http://zotero.org/users/56896/items/BUXPNGBT"],"itemData":{"id":179,"type":"article-journal","abstract":"BACKGROUND: Combination therapy is one of the most effective tools for limiting the emergence of drug resistance in pathogens. Despite the widespread adoption of combination therapy across diseases, drug resistance rates continue to rise, leading to failing treatment regimens. The mechanisms underlying treatment failure are well studied, but the processes governing successful combination therapy are poorly understood. We address this question by studying the population dynamics of Mycobacterium tuberculosis within tuberculosis patients undergoing treatment with different combinations of antibiotics.\nRESULTS: By combining very deep whole genome sequencing (~1000-fold genome-wide coverage) with sequential sputum sampling, we were able to detect transient genetic diversity driven by the apparently continuous turnover of minor alleles, which could serve as the source of drug-resistant bacteria. However, we report that treatment efficacy has a clear impact on the population dynamics: sufficient drug pressure bears a clear signature of purifying selection leading to apparent genetic stability. In contrast, M. tuberculosis populations subject to less drug pressure show markedly different dynamics, including cases of acquisition of additional drug resistance.\nCONCLUSIONS: Our findings show that for a pathogen like M. tuberculosis, which is well adapted to the human host, purifying selection constrains the evolutionary trajectory to resistance in effectively treated individuals. Nonetheless, we also report a continuous turnover of minor variants, which could give rise to the emergence of drug resistance in cases of drug pressure weakening. Monitoring bacterial population dynamics could therefore provide an informative metric for assessing the efficacy of novel drug combinations.","container-title":"Genome Biology","DOI":"10.1186/s13059-017-1196-0","ISSN":"1474-760X","issue":"1","journalAbbreviation":"Genome Biol.","language":"eng","page":"71","PMID":"28424085","PMCID":"PMC5395877","source":"PubMed","title":"The within-host population dynamics of Mycobacterium tuberculosis vary with treatment efficacy","volume":"18","author":[{"family":"Trauner","given":"Andrej"},{"family":"Liu","given":"Qingyun"},{"family":"Via","given":"Laura E."},{"family":"Liu","given":"Xin"},{"family":"Ruan","given":"Xianglin"},{"family":"Liang","given":"Lili"},{"family":"Shi","given":"Huimin"},{"family":"Chen","given":"Ying"},{"family":"Wang","given":"Ziling"},{"family":"Liang","given":"Ruixia"},{"family":"Zhang","given":"Wei"},{"family":"Wei","given":"Wang"},{"family":"Gao","given":"Jingcai"},{"family":"Sun","given":"Gang"},{"family":"Brites","given":"Daniela"},{"family":"England","given":"Kathleen"},{"family":"Zhang","given":"Guolong"},{"family":"Gagneux","given":"Sebastien"},{"family":"Barry","given":"Clifton E."},{"family":"Gao","given":"Qian"}],"issued":{"date-parts":[["2017"]],"season":"19"}}}],"schema":"https://github.com/citation-style-language/schema/raw/master/csl-citation.json"} </w:instrText>
      </w:r>
      <w:r w:rsidR="00DB71EA">
        <w:rPr>
          <w:rFonts w:ascii="Times New Roman" w:hAnsi="Times New Roman" w:cs="Times New Roman"/>
          <w:sz w:val="24"/>
          <w:szCs w:val="24"/>
        </w:rPr>
        <w:fldChar w:fldCharType="separate"/>
      </w:r>
      <w:r w:rsidR="00967450" w:rsidRPr="00967450">
        <w:rPr>
          <w:rFonts w:ascii="Times New Roman" w:hAnsi="Times New Roman" w:cs="Times New Roman"/>
          <w:kern w:val="0"/>
          <w:sz w:val="24"/>
          <w:szCs w:val="24"/>
          <w:vertAlign w:val="superscript"/>
        </w:rPr>
        <w:t>2</w:t>
      </w:r>
      <w:r w:rsidR="00DB71EA">
        <w:rPr>
          <w:rFonts w:ascii="Times New Roman" w:hAnsi="Times New Roman" w:cs="Times New Roman"/>
          <w:sz w:val="24"/>
          <w:szCs w:val="24"/>
        </w:rPr>
        <w:fldChar w:fldCharType="end"/>
      </w:r>
      <w:r w:rsidR="00967450">
        <w:rPr>
          <w:rFonts w:ascii="Times New Roman" w:hAnsi="Times New Roman" w:cs="Times New Roman"/>
          <w:sz w:val="24"/>
          <w:szCs w:val="24"/>
        </w:rPr>
        <w:t>, and analyses spanning evolutionary scales</w:t>
      </w:r>
      <w:r w:rsidR="00967450">
        <w:rPr>
          <w:rFonts w:ascii="Times New Roman" w:hAnsi="Times New Roman" w:cs="Times New Roman"/>
          <w:sz w:val="24"/>
          <w:szCs w:val="24"/>
        </w:rPr>
        <w:fldChar w:fldCharType="begin"/>
      </w:r>
      <w:r w:rsidR="000A0542">
        <w:rPr>
          <w:rFonts w:ascii="Times New Roman" w:hAnsi="Times New Roman" w:cs="Times New Roman"/>
          <w:sz w:val="24"/>
          <w:szCs w:val="24"/>
        </w:rPr>
        <w:instrText xml:space="preserve"> ADDIN ZOTERO_ITEM CSL_CITATION {"citationID":"zQqQOn5Z","properties":{"unsorted":false,"formattedCitation":"\\super 3\\nosupersub{}","plainCitation":"3","noteIndex":0},"citationItems":[{"id":2330,"uris":["http://zotero.org/users/56896/items/CWPUGQ8Z"],"itemData":{"id":2330,"type":"article-journal","abstract":"Tuberculosis (TB) is a global public health emergency. Increasingly drug resistant strains of Mycobacterium tuberculosis (M.tb) continue to emerge and spread, highlighting adaptability of this pathogen. Most studies of M.tb evolution have relied on 'between-host' samples, in which each person with TB is represented by a single M.tb isolate. However, individuals with TB commonly harbor populations of M.tb numbering in the billions. Here, we use analyses of M.tb genomic data from within and between hosts to gain insight into influences shaping genetic diversity of this pathogen. We find that the amount of M.tb genetic diversity harbored by individuals with TB can vary dramatically, likely as a function of disease severity. Surprisingly, we did not find an appreciable impact of TB treatment on M.tb diversity. In examining genomic data from M.tb samples within and between hosts with TB, we find that genes involved in the regulation, synthesis, and transportation of immunomodulatory cell envelope lipids appear repeatedly in the extremes of various statistical measures of diversity. Many of these genes have been identified as possible targets of selection in other studies employing different methods and data sets. Taken together, these observations suggest that M.tb cell envelope lipids are targets of selection within hosts. Many of these lipids are specific to pathogenic mycobacteria and, in some cases, human-pathogenic mycobacteria. We speculate that rapid adaptation of cell envelope lipids is facilitated by functional redundancy, flexibility in their metabolism, and their roles mediating interactions with the host.","container-title":"PLoS pathogens","DOI":"10.1371/journal.ppat.1005257","ISSN":"1553-7374","issue":"11","journalAbbreviation":"PLoS Pathog.","language":"eng","page":"e1005257","PMID":"26562841","PMCID":"PMC4642946","source":"PubMed","title":"Diversity of Mycobacterium tuberculosis across Evolutionary Scales","volume":"11","author":[{"family":"O'Neill","given":"Mary B."},{"family":"Mortimer","given":"Tatum D."},{"family":"Pepperell","given":"Caitlin S."}],"issued":{"date-parts":[["2015"]]}}}],"schema":"https://github.com/citation-style-language/schema/raw/master/csl-citation.json"} </w:instrText>
      </w:r>
      <w:r w:rsidR="00967450">
        <w:rPr>
          <w:rFonts w:ascii="Times New Roman" w:hAnsi="Times New Roman" w:cs="Times New Roman"/>
          <w:sz w:val="24"/>
          <w:szCs w:val="24"/>
        </w:rPr>
        <w:fldChar w:fldCharType="separate"/>
      </w:r>
      <w:r w:rsidR="000A0542" w:rsidRPr="000A0542">
        <w:rPr>
          <w:rFonts w:ascii="Times New Roman" w:hAnsi="Times New Roman" w:cs="Times New Roman"/>
          <w:kern w:val="0"/>
          <w:sz w:val="24"/>
          <w:szCs w:val="24"/>
          <w:vertAlign w:val="superscript"/>
        </w:rPr>
        <w:t>3</w:t>
      </w:r>
      <w:r w:rsidR="00967450">
        <w:rPr>
          <w:rFonts w:ascii="Times New Roman" w:hAnsi="Times New Roman" w:cs="Times New Roman"/>
          <w:sz w:val="24"/>
          <w:szCs w:val="24"/>
        </w:rPr>
        <w:fldChar w:fldCharType="end"/>
      </w:r>
      <w:r w:rsidR="000A0542">
        <w:rPr>
          <w:rFonts w:ascii="Times New Roman" w:hAnsi="Times New Roman" w:cs="Times New Roman"/>
          <w:sz w:val="24"/>
          <w:szCs w:val="24"/>
        </w:rPr>
        <w:t xml:space="preserve">, establishing that minor-allele </w:t>
      </w:r>
      <w:r w:rsidR="00FC4D25">
        <w:rPr>
          <w:rFonts w:ascii="Times New Roman" w:hAnsi="Times New Roman" w:cs="Times New Roman"/>
          <w:sz w:val="24"/>
          <w:szCs w:val="24"/>
        </w:rPr>
        <w:t>variants</w:t>
      </w:r>
      <w:r w:rsidR="00825B5E">
        <w:rPr>
          <w:rFonts w:ascii="Times New Roman" w:hAnsi="Times New Roman" w:cs="Times New Roman"/>
          <w:sz w:val="24"/>
          <w:szCs w:val="24"/>
        </w:rPr>
        <w:t xml:space="preserve"> </w:t>
      </w:r>
      <w:r w:rsidR="00FC4D25">
        <w:rPr>
          <w:rFonts w:ascii="Times New Roman" w:hAnsi="Times New Roman" w:cs="Times New Roman"/>
          <w:sz w:val="24"/>
          <w:szCs w:val="24"/>
        </w:rPr>
        <w:t xml:space="preserve">segregate within individual patients and that their dynamics carry biological and clinical signal. Detection of such variants from short-read whole genome sequencing of clinical specimen rests on a </w:t>
      </w:r>
      <w:r w:rsidR="00BF4AE8">
        <w:rPr>
          <w:rFonts w:ascii="Times New Roman" w:hAnsi="Times New Roman" w:cs="Times New Roman"/>
          <w:sz w:val="24"/>
          <w:szCs w:val="24"/>
        </w:rPr>
        <w:t>chain of bioinformatic thresholds, such as read depth (DP) at the candidate position, alternate allele read support (AD), and the minor allele frequency (MAF) below which signal becomes indistinguishable from sequencing or mapping error. The thresholds chosen along these three axes determine which patients are counted as harboring detectable</w:t>
      </w:r>
      <w:r w:rsidR="00C13625">
        <w:rPr>
          <w:rFonts w:ascii="Times New Roman" w:hAnsi="Times New Roman" w:cs="Times New Roman"/>
          <w:sz w:val="24"/>
          <w:szCs w:val="24"/>
        </w:rPr>
        <w:t xml:space="preserve"> within-host </w:t>
      </w:r>
      <w:r w:rsidR="00825B5E">
        <w:rPr>
          <w:rFonts w:ascii="Times New Roman" w:hAnsi="Times New Roman" w:cs="Times New Roman"/>
          <w:sz w:val="24"/>
          <w:szCs w:val="24"/>
        </w:rPr>
        <w:t>diversity and</w:t>
      </w:r>
      <w:r w:rsidR="00C13625">
        <w:rPr>
          <w:rFonts w:ascii="Times New Roman" w:hAnsi="Times New Roman" w:cs="Times New Roman"/>
          <w:sz w:val="24"/>
          <w:szCs w:val="24"/>
        </w:rPr>
        <w:t xml:space="preserve"> thereby fix the measurement frame for any descriptive or inferential analysis that follows. </w:t>
      </w:r>
    </w:p>
    <w:p w14:paraId="32C16225" w14:textId="60FB44F5" w:rsidR="00C13625" w:rsidRDefault="00C13625" w:rsidP="007314EA">
      <w:pPr>
        <w:spacing w:after="0" w:line="480" w:lineRule="auto"/>
        <w:ind w:firstLine="0"/>
        <w:jc w:val="left"/>
        <w:rPr>
          <w:rFonts w:ascii="Times New Roman" w:hAnsi="Times New Roman" w:cs="Times New Roman"/>
          <w:sz w:val="24"/>
          <w:szCs w:val="24"/>
        </w:rPr>
      </w:pPr>
      <w:r>
        <w:rPr>
          <w:rFonts w:ascii="Times New Roman" w:hAnsi="Times New Roman" w:cs="Times New Roman"/>
          <w:sz w:val="24"/>
          <w:szCs w:val="24"/>
        </w:rPr>
        <w:tab/>
        <w:t>Threshold practice</w:t>
      </w:r>
      <w:r w:rsidR="00BE602E">
        <w:rPr>
          <w:rFonts w:ascii="Times New Roman" w:hAnsi="Times New Roman" w:cs="Times New Roman"/>
          <w:sz w:val="24"/>
          <w:szCs w:val="24"/>
        </w:rPr>
        <w:t xml:space="preserve"> in tuberculosis (TB) </w:t>
      </w:r>
      <w:r w:rsidR="00853C32">
        <w:rPr>
          <w:rFonts w:ascii="Times New Roman" w:hAnsi="Times New Roman" w:cs="Times New Roman"/>
          <w:sz w:val="24"/>
          <w:szCs w:val="24"/>
        </w:rPr>
        <w:t xml:space="preserve">within-host diversity studies has been heterogeneous and rarely empirically anchored to the structure of the data being filtered. </w:t>
      </w:r>
      <w:r w:rsidR="00AA1E56">
        <w:rPr>
          <w:rFonts w:ascii="Times New Roman" w:hAnsi="Times New Roman" w:cs="Times New Roman"/>
          <w:sz w:val="24"/>
          <w:szCs w:val="24"/>
        </w:rPr>
        <w:t>One previous study derived</w:t>
      </w:r>
      <w:r w:rsidR="00781637">
        <w:rPr>
          <w:rFonts w:ascii="Times New Roman" w:hAnsi="Times New Roman" w:cs="Times New Roman"/>
          <w:sz w:val="24"/>
          <w:szCs w:val="24"/>
        </w:rPr>
        <w:t xml:space="preserve"> a 30% </w:t>
      </w:r>
      <w:r w:rsidR="006C41B2">
        <w:rPr>
          <w:rFonts w:ascii="Times New Roman" w:hAnsi="Times New Roman" w:cs="Times New Roman"/>
          <w:sz w:val="24"/>
          <w:szCs w:val="24"/>
        </w:rPr>
        <w:t>MAF</w:t>
      </w:r>
      <w:r w:rsidR="00781637">
        <w:rPr>
          <w:rFonts w:ascii="Times New Roman" w:hAnsi="Times New Roman" w:cs="Times New Roman"/>
          <w:sz w:val="24"/>
          <w:szCs w:val="24"/>
        </w:rPr>
        <w:t xml:space="preserve"> cutoff via</w:t>
      </w:r>
      <w:r w:rsidR="00974FA9">
        <w:rPr>
          <w:rFonts w:ascii="Times New Roman" w:hAnsi="Times New Roman" w:cs="Times New Roman"/>
          <w:sz w:val="24"/>
          <w:szCs w:val="24"/>
        </w:rPr>
        <w:t xml:space="preserve"> Sanger validation of single colonies; however, this approach operate</w:t>
      </w:r>
      <w:r w:rsidR="00957408">
        <w:rPr>
          <w:rFonts w:ascii="Times New Roman" w:hAnsi="Times New Roman" w:cs="Times New Roman"/>
          <w:sz w:val="24"/>
          <w:szCs w:val="24"/>
        </w:rPr>
        <w:t>s</w:t>
      </w:r>
      <w:r w:rsidR="00974FA9">
        <w:rPr>
          <w:rFonts w:ascii="Times New Roman" w:hAnsi="Times New Roman" w:cs="Times New Roman"/>
          <w:sz w:val="24"/>
          <w:szCs w:val="24"/>
        </w:rPr>
        <w:t xml:space="preserve"> along a single axis and rel</w:t>
      </w:r>
      <w:r w:rsidR="00303173">
        <w:rPr>
          <w:rFonts w:ascii="Times New Roman" w:hAnsi="Times New Roman" w:cs="Times New Roman"/>
          <w:sz w:val="24"/>
          <w:szCs w:val="24"/>
        </w:rPr>
        <w:t>ies</w:t>
      </w:r>
      <w:r w:rsidR="00974FA9">
        <w:rPr>
          <w:rFonts w:ascii="Times New Roman" w:hAnsi="Times New Roman" w:cs="Times New Roman"/>
          <w:sz w:val="24"/>
          <w:szCs w:val="24"/>
        </w:rPr>
        <w:t xml:space="preserve"> on a validation target that is not transferable to pre-treatment patient specimens</w:t>
      </w:r>
      <w:r w:rsidR="00457A08">
        <w:rPr>
          <w:rFonts w:ascii="Times New Roman" w:hAnsi="Times New Roman" w:cs="Times New Roman"/>
          <w:sz w:val="24"/>
          <w:szCs w:val="24"/>
        </w:rPr>
        <w:fldChar w:fldCharType="begin"/>
      </w:r>
      <w:r w:rsidR="006773DB">
        <w:rPr>
          <w:rFonts w:ascii="Times New Roman" w:hAnsi="Times New Roman" w:cs="Times New Roman"/>
          <w:sz w:val="24"/>
          <w:szCs w:val="24"/>
        </w:rPr>
        <w:instrText xml:space="preserve"> ADDIN ZOTERO_ITEM CSL_CITATION {"citationID":"cY8VEpdm","properties":{"unsorted":false,"formattedCitation":"\\super 4\\nosupersub{}","plainCitation":"4","noteIndex":0},"citationItems":[{"id":189,"uris":["http://zotero.org/users/56896/items/H8PWFCZF"],"itemData":{"id":189,"type":"article-journal","abstract":"Background\nWhole genome sequencing has revolutionised the interrogation of mycobacterial genomes. Recent studies have reported conflicting findings on the genomic stability of Mycobacterium tuberculosis during the evolution of drug resistance. In an age where whole genome sequencing is increasingly relied upon for defining the structure of bacterial genomes, it is important to investigate the reliability of next generation sequencing to identify clonal variants present in a minor percentage of the population. This study aimed to define a reliable cut-off for identification of low frequency sequence variants and to subsequently investigate genetic heterogeneity and the evolution of drug resistance in M. tuberculosis. \n\nMethods\nGenomic DNA was isolated from single colonies from 14 rifampicin mono-resistant M. tuberculosis isolates, as well as the primary cultures and follow up MDR cultures from two of these patients. The whole genomes of the M. tuberculosis isolates were sequenced using either the Illumina MiSeq or Illumina HiSeq platforms. Sequences were analysed with an in-house pipeline.\n\nResults\nUsing next-generation sequencing in combination with Sanger sequencing and statistical analysis we defined a read frequency cut-off of 30 % to identify low frequency M. tuberculosis variants with high confidence. Using this cut-off we demonstrated a high rate of genetic diversity between single colonies isolated from one population, showing that by using the current sequencing technology, single colonies are not a true reflection of the genetic diversity within a whole population and vice versa. We further showed that numerous heterogeneous variants emerge and then disappear during the evolution of isoniazid resistance within individual patients. Our findings allowed us to formulate a model for the selective bottleneck which occurs during the course of infection, acting as a genomic purification event.\n\nConclusions\nOur study demonstrated true levels of genetic diversity within an M. tuberculosis population and showed that genetic diversity may be re-defined when a selective pressure, such as drug exposure, is imposed on M. tuberculosis populations during the course of infection. This suggests that the genome of M. tuberculosis is more dynamic than previously thought, suggesting preparedness to respond to a changing environment.\n\nElectronic supplementary material\nThe online version of this article (doi:10.1186/s12864-015-2067-2) contains supplementary material, which is available to authorized users.","container-title":"BMC Genomics","DOI":"10.1186/s12864-015-2067-2","ISSN":"1471-2164","journalAbbreviation":"BMC Genomics","PMID":"26496891","PMCID":"PMC4619333","source":"PubMed Central","title":"Whole genome sequencing reveals genomic heterogeneity and antibiotic purification in Mycobacterium tuberculosis isolates","URL":"https://www.ncbi.nlm.nih.gov/pmc/articles/PMC4619333/","volume":"16","author":[{"family":"Black","given":"PA"},{"family":"Vos","given":"M.","non-dropping-particle":"de"},{"family":"Louw","given":"GE"},{"family":"Merwe","given":"RG","non-dropping-particle":"van der"},{"family":"Dippenaar","given":"A."},{"family":"Streicher","given":"EM"},{"family":"Abdallah","given":"AM"},{"family":"Sampson","given":"SL"},{"family":"Victor","given":"TC"},{"family":"Dolby","given":"T."},{"family":"Simpson","given":"JA"},{"family":"Helden","given":"PD","non-dropping-particle":"van"},{"family":"Warren","given":"RM"},{"family":"Pain","given":"A."}],"accessed":{"date-parts":[["2019",7,27]]},"issued":{"date-parts":[["2015",10,24]]}}}],"schema":"https://github.com/citation-style-language/schema/raw/master/csl-citation.json"} </w:instrText>
      </w:r>
      <w:r w:rsidR="00457A08">
        <w:rPr>
          <w:rFonts w:ascii="Times New Roman" w:hAnsi="Times New Roman" w:cs="Times New Roman"/>
          <w:sz w:val="24"/>
          <w:szCs w:val="24"/>
        </w:rPr>
        <w:fldChar w:fldCharType="separate"/>
      </w:r>
      <w:r w:rsidR="006773DB" w:rsidRPr="006773DB">
        <w:rPr>
          <w:rFonts w:ascii="Times New Roman" w:hAnsi="Times New Roman" w:cs="Times New Roman"/>
          <w:kern w:val="0"/>
          <w:sz w:val="24"/>
          <w:szCs w:val="24"/>
          <w:vertAlign w:val="superscript"/>
        </w:rPr>
        <w:t>4</w:t>
      </w:r>
      <w:r w:rsidR="00457A08">
        <w:rPr>
          <w:rFonts w:ascii="Times New Roman" w:hAnsi="Times New Roman" w:cs="Times New Roman"/>
          <w:sz w:val="24"/>
          <w:szCs w:val="24"/>
        </w:rPr>
        <w:fldChar w:fldCharType="end"/>
      </w:r>
      <w:r w:rsidR="00974FA9">
        <w:rPr>
          <w:rFonts w:ascii="Times New Roman" w:hAnsi="Times New Roman" w:cs="Times New Roman"/>
          <w:sz w:val="24"/>
          <w:szCs w:val="24"/>
        </w:rPr>
        <w:t>.</w:t>
      </w:r>
      <w:r w:rsidR="00601DC1">
        <w:rPr>
          <w:rFonts w:ascii="Times New Roman" w:hAnsi="Times New Roman" w:cs="Times New Roman"/>
          <w:sz w:val="24"/>
          <w:szCs w:val="24"/>
        </w:rPr>
        <w:t xml:space="preserve"> Another study anchored thresholds to the discrimination of </w:t>
      </w:r>
      <w:r w:rsidR="00601DC1">
        <w:rPr>
          <w:rFonts w:ascii="Times New Roman" w:hAnsi="Times New Roman" w:cs="Times New Roman"/>
          <w:i/>
          <w:iCs/>
          <w:sz w:val="24"/>
          <w:szCs w:val="24"/>
        </w:rPr>
        <w:t>in vitro</w:t>
      </w:r>
      <w:r w:rsidR="00601DC1">
        <w:rPr>
          <w:rFonts w:ascii="Times New Roman" w:hAnsi="Times New Roman" w:cs="Times New Roman"/>
          <w:sz w:val="24"/>
          <w:szCs w:val="24"/>
        </w:rPr>
        <w:t xml:space="preserve"> mixed</w:t>
      </w:r>
      <w:r w:rsidR="003F2220">
        <w:rPr>
          <w:rFonts w:ascii="Times New Roman" w:hAnsi="Times New Roman" w:cs="Times New Roman"/>
          <w:sz w:val="24"/>
          <w:szCs w:val="24"/>
        </w:rPr>
        <w:t xml:space="preserve"> strains, but this</w:t>
      </w:r>
      <w:r w:rsidR="00CB6D84">
        <w:rPr>
          <w:rFonts w:ascii="Times New Roman" w:hAnsi="Times New Roman" w:cs="Times New Roman"/>
          <w:sz w:val="24"/>
          <w:szCs w:val="24"/>
        </w:rPr>
        <w:t xml:space="preserve"> method of calibration is </w:t>
      </w:r>
      <w:r w:rsidR="005F70A0">
        <w:rPr>
          <w:rFonts w:ascii="Times New Roman" w:hAnsi="Times New Roman" w:cs="Times New Roman"/>
          <w:sz w:val="24"/>
          <w:szCs w:val="24"/>
        </w:rPr>
        <w:t>specific to this task rather than to general intra-host single nucleotide variant (iSNV)</w:t>
      </w:r>
      <w:r w:rsidR="007702CC">
        <w:rPr>
          <w:rFonts w:ascii="Times New Roman" w:hAnsi="Times New Roman" w:cs="Times New Roman"/>
          <w:sz w:val="24"/>
          <w:szCs w:val="24"/>
        </w:rPr>
        <w:t xml:space="preserve"> detection</w:t>
      </w:r>
      <w:r w:rsidR="007702CC">
        <w:rPr>
          <w:rFonts w:ascii="Times New Roman" w:hAnsi="Times New Roman" w:cs="Times New Roman"/>
          <w:sz w:val="24"/>
          <w:szCs w:val="24"/>
        </w:rPr>
        <w:fldChar w:fldCharType="begin"/>
      </w:r>
      <w:r w:rsidR="007702CC">
        <w:rPr>
          <w:rFonts w:ascii="Times New Roman" w:hAnsi="Times New Roman" w:cs="Times New Roman"/>
          <w:sz w:val="24"/>
          <w:szCs w:val="24"/>
        </w:rPr>
        <w:instrText xml:space="preserve"> ADDIN ZOTERO_ITEM CSL_CITATION {"citationID":"NnzsLeU9","properties":{"unsorted":false,"formattedCitation":"\\super 5\\nosupersub{}","plainCitation":"5","noteIndex":0},"citationItems":[{"id":2197,"uris":["http://zotero.org/users/56896/items/7NI3VGXB"],"itemData":{"id":2197,"type":"article-journal","abstract":"Mixed, polyclonal Mycobacterium tuberculosis infection occurs in natural populations. Developing an effective method for detecting such cases is important in measuring the success of treatment and reconstruction of transmission between patients. Using whole genome sequence (WGS) data, we assess two methods for detecting mixed infection: (i) a combination of the number of heterozygous sites and the proportion of heterozygous sites to total SNPs, and (ii) Bayesian model-based clustering of allele frequencies from sequencing reads at heterozygous sites.","container-title":"BMC Genomics","DOI":"10.1186/s12864-018-4988-z","ISSN":"1471-2164","issue":"1","journalAbbreviation":"BMC Genomics","page":"613","source":"BioMed Central","title":"Identifying mixed Mycobacterium tuberculosis infections from whole genome sequence data","volume":"19","author":[{"family":"Sobkowiak","given":"Benjamin"},{"family":"Glynn","given":"Judith R."},{"family":"Houben","given":"Rein M. G. J."},{"family":"Mallard","given":"Kim"},{"family":"Phelan","given":"Jody E."},{"family":"Guerra-Assunção","given":"José Afonso"},{"family":"Banda","given":"Louis"},{"family":"Mzembe","given":"Themba"},{"family":"Viveiros","given":"Miguel"},{"family":"McNerney","given":"Ruth"},{"family":"Parkhill","given":"Julian"},{"family":"Crampin","given":"Amelia C."},{"family":"Clark","given":"Taane G."}],"issued":{"date-parts":[["2018",8,14]]}}}],"schema":"https://github.com/citation-style-language/schema/raw/master/csl-citation.json"} </w:instrText>
      </w:r>
      <w:r w:rsidR="007702CC">
        <w:rPr>
          <w:rFonts w:ascii="Times New Roman" w:hAnsi="Times New Roman" w:cs="Times New Roman"/>
          <w:sz w:val="24"/>
          <w:szCs w:val="24"/>
        </w:rPr>
        <w:fldChar w:fldCharType="separate"/>
      </w:r>
      <w:r w:rsidR="007702CC" w:rsidRPr="007702CC">
        <w:rPr>
          <w:rFonts w:ascii="Times New Roman" w:hAnsi="Times New Roman" w:cs="Times New Roman"/>
          <w:kern w:val="0"/>
          <w:sz w:val="24"/>
          <w:szCs w:val="24"/>
          <w:vertAlign w:val="superscript"/>
        </w:rPr>
        <w:t>5</w:t>
      </w:r>
      <w:r w:rsidR="007702CC">
        <w:rPr>
          <w:rFonts w:ascii="Times New Roman" w:hAnsi="Times New Roman" w:cs="Times New Roman"/>
          <w:sz w:val="24"/>
          <w:szCs w:val="24"/>
        </w:rPr>
        <w:fldChar w:fldCharType="end"/>
      </w:r>
      <w:r w:rsidR="007702CC">
        <w:rPr>
          <w:rFonts w:ascii="Times New Roman" w:hAnsi="Times New Roman" w:cs="Times New Roman"/>
          <w:sz w:val="24"/>
          <w:szCs w:val="24"/>
        </w:rPr>
        <w:t xml:space="preserve">. </w:t>
      </w:r>
      <w:r w:rsidR="005F7D2C">
        <w:rPr>
          <w:rFonts w:ascii="Times New Roman" w:hAnsi="Times New Roman" w:cs="Times New Roman"/>
          <w:sz w:val="24"/>
          <w:szCs w:val="24"/>
        </w:rPr>
        <w:t xml:space="preserve">Other </w:t>
      </w:r>
      <w:r w:rsidR="00F32F44">
        <w:rPr>
          <w:rFonts w:ascii="Times New Roman" w:hAnsi="Times New Roman" w:cs="Times New Roman"/>
          <w:sz w:val="24"/>
          <w:szCs w:val="24"/>
        </w:rPr>
        <w:t>groups</w:t>
      </w:r>
      <w:r w:rsidR="005F7D2C">
        <w:rPr>
          <w:rFonts w:ascii="Times New Roman" w:hAnsi="Times New Roman" w:cs="Times New Roman"/>
          <w:sz w:val="24"/>
          <w:szCs w:val="24"/>
        </w:rPr>
        <w:t xml:space="preserve"> </w:t>
      </w:r>
      <w:r w:rsidR="00F32F44">
        <w:rPr>
          <w:rFonts w:ascii="Times New Roman" w:hAnsi="Times New Roman" w:cs="Times New Roman"/>
          <w:sz w:val="24"/>
          <w:szCs w:val="24"/>
        </w:rPr>
        <w:t>have</w:t>
      </w:r>
      <w:r w:rsidR="005F7D2C">
        <w:rPr>
          <w:rFonts w:ascii="Times New Roman" w:hAnsi="Times New Roman" w:cs="Times New Roman"/>
          <w:sz w:val="24"/>
          <w:szCs w:val="24"/>
        </w:rPr>
        <w:t xml:space="preserve"> benchmarked variant callers on simulated reads</w:t>
      </w:r>
      <w:r w:rsidR="00F32F44">
        <w:rPr>
          <w:rFonts w:ascii="Times New Roman" w:hAnsi="Times New Roman" w:cs="Times New Roman"/>
          <w:sz w:val="24"/>
          <w:szCs w:val="24"/>
        </w:rPr>
        <w:t xml:space="preserve">; however, this </w:t>
      </w:r>
      <w:r w:rsidR="007B4C95">
        <w:rPr>
          <w:rFonts w:ascii="Times New Roman" w:hAnsi="Times New Roman" w:cs="Times New Roman"/>
          <w:sz w:val="24"/>
          <w:szCs w:val="24"/>
        </w:rPr>
        <w:t>approach</w:t>
      </w:r>
      <w:r w:rsidR="005240A3">
        <w:rPr>
          <w:rFonts w:ascii="Times New Roman" w:hAnsi="Times New Roman" w:cs="Times New Roman"/>
          <w:sz w:val="24"/>
          <w:szCs w:val="24"/>
        </w:rPr>
        <w:t xml:space="preserve"> address</w:t>
      </w:r>
      <w:r w:rsidR="007B4C95">
        <w:rPr>
          <w:rFonts w:ascii="Times New Roman" w:hAnsi="Times New Roman" w:cs="Times New Roman"/>
          <w:sz w:val="24"/>
          <w:szCs w:val="24"/>
        </w:rPr>
        <w:t>es</w:t>
      </w:r>
      <w:r w:rsidR="005240A3">
        <w:rPr>
          <w:rFonts w:ascii="Times New Roman" w:hAnsi="Times New Roman" w:cs="Times New Roman"/>
          <w:sz w:val="24"/>
          <w:szCs w:val="24"/>
        </w:rPr>
        <w:t xml:space="preserve"> tool-level performance upstream of the calibration choice</w:t>
      </w:r>
      <w:r w:rsidR="00493013">
        <w:rPr>
          <w:rFonts w:ascii="Times New Roman" w:hAnsi="Times New Roman" w:cs="Times New Roman"/>
          <w:sz w:val="24"/>
          <w:szCs w:val="24"/>
        </w:rPr>
        <w:fldChar w:fldCharType="begin"/>
      </w:r>
      <w:r w:rsidR="00493013">
        <w:rPr>
          <w:rFonts w:ascii="Times New Roman" w:hAnsi="Times New Roman" w:cs="Times New Roman"/>
          <w:sz w:val="24"/>
          <w:szCs w:val="24"/>
        </w:rPr>
        <w:instrText xml:space="preserve"> ADDIN ZOTERO_ITEM CSL_CITATION {"citationID":"BXZFJuKl","properties":{"unsorted":false,"formattedCitation":"\\super 6\\nosupersub{}","plainCitation":"6","noteIndex":0},"citationItems":[{"id":9822,"uris":["http://zotero.org/users/56896/items/EHY933K4"],"itemData":{"id":9822,"type":"article-journal","abstract":"The study of genetic minority variants is fundamental to the understanding of complex processes such as evolution, fitness, transmission, virulence, heteroresistance and drug tolerance in Mycobacterium tuberculosis (Mtb). We evaluated the performance of the variant calling tool LoFreq to detect de novo as well as drug resistance conferring minor variants in both in silico and clinical Mtb next generation sequencing (NGS) data. The in silico simulations demonstrated that LoFreq is a conservative variant caller with very high precision (≥96.7%) over the entire range of depth of coverage tested (30x to1000x), independent of the type and frequency of the minor variant. Sensitivity increased with increasing depth of coverage and increasing frequency of the variant, and was higher for calling insertion and deletion (indel) variants than for single nucleotide polymorphisms (SNP). The variant frequency limit of detection was 0.5% and 3% for indel and SNP minor variants, respectively. For serial isolates from a patient with DR-TB; LoFreq successfully identified all minor Mtb variants in the Rv0678 gene (allele frequency as low as 3.22% according to targeted deep sequencing) in whole genome sequencing data (median coverage of 62X). In conclusion, LoFreq can successfully detect minor variant populations in Mtb NGS data, thus limiting the need for filtering of possible false positive variants due to sequencing error. The observed performance statistics can be used to determine the limit of detection in existing whole genome sequencing Mtb data and guide the required depth of future studies that aim to investigate the presence of minor variants.","container-title":"Briefings in Bioinformatics","DOI":"10.1093/bib/bbab541","ISSN":"1477-4054","issue":"1","journalAbbreviation":"Brief Bioinform","page":"bbab541","source":"Silverchair","title":"Detection of minor variants in Mycobacterium tuberculosis whole genome sequencing data","volume":"23","author":[{"family":"Goossens","given":"Sander N"},{"family":"Heupink","given":"Tim H"},{"family":"De Vos","given":"Elise"},{"family":"Dippenaar","given":"Anzaan"},{"family":"De Vos","given":"Margaretha"},{"family":"Warren","given":"Rob"},{"family":"Van Rie","given":"Annelies"}],"issued":{"date-parts":[["2022",1,1]]}}}],"schema":"https://github.com/citation-style-language/schema/raw/master/csl-citation.json"} </w:instrText>
      </w:r>
      <w:r w:rsidR="00493013">
        <w:rPr>
          <w:rFonts w:ascii="Times New Roman" w:hAnsi="Times New Roman" w:cs="Times New Roman"/>
          <w:sz w:val="24"/>
          <w:szCs w:val="24"/>
        </w:rPr>
        <w:fldChar w:fldCharType="separate"/>
      </w:r>
      <w:r w:rsidR="00493013" w:rsidRPr="00493013">
        <w:rPr>
          <w:rFonts w:ascii="Times New Roman" w:hAnsi="Times New Roman" w:cs="Times New Roman"/>
          <w:kern w:val="0"/>
          <w:sz w:val="24"/>
          <w:szCs w:val="24"/>
          <w:vertAlign w:val="superscript"/>
        </w:rPr>
        <w:t>6</w:t>
      </w:r>
      <w:r w:rsidR="00493013">
        <w:rPr>
          <w:rFonts w:ascii="Times New Roman" w:hAnsi="Times New Roman" w:cs="Times New Roman"/>
          <w:sz w:val="24"/>
          <w:szCs w:val="24"/>
        </w:rPr>
        <w:fldChar w:fldCharType="end"/>
      </w:r>
      <w:r w:rsidR="00B04795">
        <w:rPr>
          <w:rFonts w:ascii="Times New Roman" w:hAnsi="Times New Roman" w:cs="Times New Roman"/>
          <w:sz w:val="24"/>
          <w:szCs w:val="24"/>
        </w:rPr>
        <w:t xml:space="preserve">. </w:t>
      </w:r>
      <w:r w:rsidR="009A6D1C">
        <w:rPr>
          <w:rFonts w:ascii="Times New Roman" w:hAnsi="Times New Roman" w:cs="Times New Roman"/>
          <w:sz w:val="24"/>
          <w:szCs w:val="24"/>
        </w:rPr>
        <w:t>Closer to the present approach, technical replicates have been used to derive a between-time-point</w:t>
      </w:r>
      <w:r w:rsidR="002357FB">
        <w:rPr>
          <w:rFonts w:ascii="Times New Roman" w:hAnsi="Times New Roman" w:cs="Times New Roman"/>
          <w:sz w:val="24"/>
          <w:szCs w:val="24"/>
        </w:rPr>
        <w:t xml:space="preserve"> change in allele frequency (AF) threshold for within-host change in TB; however, this method operates along a single axis and addresses change detection rather than per-specimen detection</w:t>
      </w:r>
      <w:r w:rsidR="001B10B5">
        <w:rPr>
          <w:rFonts w:ascii="Times New Roman" w:hAnsi="Times New Roman" w:cs="Times New Roman"/>
          <w:sz w:val="24"/>
          <w:szCs w:val="24"/>
        </w:rPr>
        <w:fldChar w:fldCharType="begin"/>
      </w:r>
      <w:r w:rsidR="001B10B5">
        <w:rPr>
          <w:rFonts w:ascii="Times New Roman" w:hAnsi="Times New Roman" w:cs="Times New Roman"/>
          <w:sz w:val="24"/>
          <w:szCs w:val="24"/>
        </w:rPr>
        <w:instrText xml:space="preserve"> ADDIN ZOTERO_ITEM CSL_CITATION {"citationID":"DP0PaHzp","properties":{"unsorted":false,"formattedCitation":"\\super 7\\nosupersub{}","plainCitation":"7","noteIndex":0},"citationItems":[{"id":10555,"uris":["http://zotero.org/users/56896/items/JE7V4VKI"],"itemData":{"id":10555,"type":"article-journal","abstract":"Tuberculosis (TB) is a leading cause of death globally. Understanding the population dynamics of TB's causative agent Mycobacterium tuberculosis complex  (Mtbc) in-host is vital for understanding the efficacy of antibiotic treatment.  We use longitudinally collected clinical Mtbc isolates that underwent  Whole-Genome Sequencing from the sputa of 200 patients to investigate Mtbc  diversity during the course of active TB disease after excluding 107 cases  suspected of reinfection, mixed infection or contamination. Of the 178/200  patients with persistent clonal infection &gt;2 months, 27 developed new resistance  mutations between sampling with 20/27 occurring in patients with pre-existing  resistance. Low abundance resistance variants at a purity of ≥19% in the first  isolate predict fixation in the subsequent sample. We identify significant  in-host variation in 27 genes, including antibiotic resistance genes, metabolic  genes and genes known to modulate host innate immunity and confirm several to be  under positive selection by assessing phylogenetic convergence across a  genetically diverse sample of 20,352 isolates.","container-title":"eLife","DOI":"10.7554/eLife.61805","ISSN":"2050-084X","journalAbbreviation":"Elife","language":"eng","license":"© 2021, Vargas et al.","PMID":"33522489","PMCID":"PMC7884073","publisher-place":"England","title":"In-host population dynamics of Mycobacterium tuberculosis complex during active disease.","volume":"10","author":[{"family":"Vargas","given":"Roger"},{"family":"Freschi","given":"Luca"},{"family":"Marin","given":"Maximillian"},{"family":"Epperson","given":"L. Elaine"},{"family":"Smith","given":"Melissa"},{"family":"Oussenko","given":"Irina"},{"family":"Durbin","given":"David"},{"family":"Strong","given":"Michael"},{"family":"Salfinger","given":"Max"},{"family":"Farhat","given":"Maha Reda"}],"issued":{"date-parts":[["2021",2,1]]}}}],"schema":"https://github.com/citation-style-language/schema/raw/master/csl-citation.json"} </w:instrText>
      </w:r>
      <w:r w:rsidR="001B10B5">
        <w:rPr>
          <w:rFonts w:ascii="Times New Roman" w:hAnsi="Times New Roman" w:cs="Times New Roman"/>
          <w:sz w:val="24"/>
          <w:szCs w:val="24"/>
        </w:rPr>
        <w:fldChar w:fldCharType="separate"/>
      </w:r>
      <w:r w:rsidR="001B10B5" w:rsidRPr="001B10B5">
        <w:rPr>
          <w:rFonts w:ascii="Times New Roman" w:hAnsi="Times New Roman" w:cs="Times New Roman"/>
          <w:kern w:val="0"/>
          <w:sz w:val="24"/>
          <w:szCs w:val="24"/>
          <w:vertAlign w:val="superscript"/>
        </w:rPr>
        <w:t>7</w:t>
      </w:r>
      <w:r w:rsidR="001B10B5">
        <w:rPr>
          <w:rFonts w:ascii="Times New Roman" w:hAnsi="Times New Roman" w:cs="Times New Roman"/>
          <w:sz w:val="24"/>
          <w:szCs w:val="24"/>
        </w:rPr>
        <w:fldChar w:fldCharType="end"/>
      </w:r>
      <w:r w:rsidR="001B10B5">
        <w:rPr>
          <w:rFonts w:ascii="Times New Roman" w:hAnsi="Times New Roman" w:cs="Times New Roman"/>
          <w:sz w:val="24"/>
          <w:szCs w:val="24"/>
        </w:rPr>
        <w:t xml:space="preserve">. </w:t>
      </w:r>
      <w:r w:rsidR="00871C6A">
        <w:rPr>
          <w:rFonts w:ascii="Times New Roman" w:hAnsi="Times New Roman" w:cs="Times New Roman"/>
          <w:sz w:val="24"/>
          <w:szCs w:val="24"/>
        </w:rPr>
        <w:t xml:space="preserve">No prior TB study has used within-patient replicate specimens to </w:t>
      </w:r>
      <w:r w:rsidR="00871C6A">
        <w:rPr>
          <w:rFonts w:ascii="Times New Roman" w:hAnsi="Times New Roman" w:cs="Times New Roman"/>
          <w:sz w:val="24"/>
          <w:szCs w:val="24"/>
        </w:rPr>
        <w:lastRenderedPageBreak/>
        <w:t>calibrate the joint (DP, AD</w:t>
      </w:r>
      <w:r w:rsidR="00E03AD6">
        <w:rPr>
          <w:rFonts w:ascii="Times New Roman" w:hAnsi="Times New Roman" w:cs="Times New Roman"/>
          <w:sz w:val="24"/>
          <w:szCs w:val="24"/>
        </w:rPr>
        <w:t xml:space="preserve">, MAF) detection space with selection stability quantified under resampling. </w:t>
      </w:r>
    </w:p>
    <w:p w14:paraId="758EB72C" w14:textId="3E5242A2" w:rsidR="00B415DC" w:rsidRDefault="000C401D" w:rsidP="007314EA">
      <w:pPr>
        <w:spacing w:after="0" w:line="480" w:lineRule="auto"/>
        <w:ind w:firstLine="0"/>
        <w:jc w:val="left"/>
        <w:rPr>
          <w:rFonts w:ascii="Times New Roman" w:hAnsi="Times New Roman" w:cs="Times New Roman"/>
          <w:b/>
          <w:bCs/>
          <w:sz w:val="24"/>
          <w:szCs w:val="24"/>
        </w:rPr>
      </w:pPr>
      <w:r>
        <w:rPr>
          <w:rFonts w:ascii="Times New Roman" w:hAnsi="Times New Roman" w:cs="Times New Roman"/>
          <w:sz w:val="24"/>
          <w:szCs w:val="24"/>
        </w:rPr>
        <w:tab/>
        <w:t xml:space="preserve">Here, we present a replicate-anchored, lexicographically ranked, bootstrap-stabilized calibration framework for per-specimen iSNV detection. Within-patient replicate sputum pairs are scored across the joint (DP, AD, </w:t>
      </w:r>
      <w:r w:rsidR="00C826AF">
        <w:rPr>
          <w:rFonts w:ascii="Times New Roman" w:hAnsi="Times New Roman" w:cs="Times New Roman"/>
          <w:sz w:val="24"/>
          <w:szCs w:val="24"/>
        </w:rPr>
        <w:t>MAF) grid on six concordance metrics</w:t>
      </w:r>
      <w:r w:rsidR="00555CF1">
        <w:rPr>
          <w:rFonts w:ascii="Times New Roman" w:hAnsi="Times New Roman" w:cs="Times New Roman"/>
          <w:sz w:val="24"/>
          <w:szCs w:val="24"/>
        </w:rPr>
        <w:t>; the selector penalizes trivial no-signal regimes and ranks remaining cells lexicographically by reproducibility</w:t>
      </w:r>
      <w:r w:rsidR="00555AF3">
        <w:rPr>
          <w:rFonts w:ascii="Times New Roman" w:hAnsi="Times New Roman" w:cs="Times New Roman"/>
          <w:sz w:val="24"/>
          <w:szCs w:val="24"/>
        </w:rPr>
        <w:t>, leaving sensitivity as a tiebreaker. Selection stability is quantified by nonparametric bootstrap resampling of replicate pairs, and a three-tier sensitivity ladder (</w:t>
      </w:r>
      <w:r w:rsidR="00440A5C">
        <w:rPr>
          <w:rFonts w:ascii="Times New Roman" w:hAnsi="Times New Roman" w:cs="Times New Roman"/>
          <w:sz w:val="24"/>
          <w:szCs w:val="24"/>
        </w:rPr>
        <w:t>T</w:t>
      </w:r>
      <w:r w:rsidR="00555AF3">
        <w:rPr>
          <w:rFonts w:ascii="Times New Roman" w:hAnsi="Times New Roman" w:cs="Times New Roman"/>
          <w:sz w:val="24"/>
          <w:szCs w:val="24"/>
        </w:rPr>
        <w:t xml:space="preserve">ighter, </w:t>
      </w:r>
      <w:r w:rsidR="00440A5C">
        <w:rPr>
          <w:rFonts w:ascii="Times New Roman" w:hAnsi="Times New Roman" w:cs="Times New Roman"/>
          <w:sz w:val="24"/>
          <w:szCs w:val="24"/>
        </w:rPr>
        <w:t>P</w:t>
      </w:r>
      <w:r w:rsidR="00555AF3">
        <w:rPr>
          <w:rFonts w:ascii="Times New Roman" w:hAnsi="Times New Roman" w:cs="Times New Roman"/>
          <w:sz w:val="24"/>
          <w:szCs w:val="24"/>
        </w:rPr>
        <w:t xml:space="preserve">rimary, </w:t>
      </w:r>
      <w:r w:rsidR="00440A5C">
        <w:rPr>
          <w:rFonts w:ascii="Times New Roman" w:hAnsi="Times New Roman" w:cs="Times New Roman"/>
          <w:sz w:val="24"/>
          <w:szCs w:val="24"/>
        </w:rPr>
        <w:t>L</w:t>
      </w:r>
      <w:r w:rsidR="00555AF3">
        <w:rPr>
          <w:rFonts w:ascii="Times New Roman" w:hAnsi="Times New Roman" w:cs="Times New Roman"/>
          <w:sz w:val="24"/>
          <w:szCs w:val="24"/>
        </w:rPr>
        <w:t xml:space="preserve">ooser) is reported. </w:t>
      </w:r>
      <w:r w:rsidR="00FE012D">
        <w:rPr>
          <w:rFonts w:ascii="Times New Roman" w:hAnsi="Times New Roman" w:cs="Times New Roman"/>
          <w:sz w:val="24"/>
          <w:szCs w:val="24"/>
        </w:rPr>
        <w:t>We apply the calibrated rule to a TB cohort of 97 patients with 282 sputum specimens</w:t>
      </w:r>
      <w:r w:rsidR="00573840">
        <w:rPr>
          <w:rFonts w:ascii="Times New Roman" w:hAnsi="Times New Roman" w:cs="Times New Roman"/>
          <w:sz w:val="24"/>
          <w:szCs w:val="24"/>
        </w:rPr>
        <w:t xml:space="preserve">; under the primary tier, per-patient detectable within-host diversity prevalence is 16.5% (95% Wilson confidence interval: 10.4% – 25.1%). </w:t>
      </w:r>
    </w:p>
    <w:p w14:paraId="2805D725" w14:textId="47ED4C23" w:rsidR="007C1620" w:rsidRDefault="00BD14BC" w:rsidP="007314EA">
      <w:pPr>
        <w:spacing w:after="0" w:line="480" w:lineRule="auto"/>
        <w:ind w:firstLine="0"/>
        <w:rPr>
          <w:rFonts w:ascii="Times New Roman" w:hAnsi="Times New Roman" w:cs="Times New Roman"/>
          <w:b/>
          <w:bCs/>
          <w:sz w:val="24"/>
          <w:szCs w:val="24"/>
        </w:rPr>
      </w:pPr>
      <w:r>
        <w:rPr>
          <w:rFonts w:ascii="Times New Roman" w:hAnsi="Times New Roman" w:cs="Times New Roman"/>
          <w:b/>
          <w:bCs/>
          <w:sz w:val="24"/>
          <w:szCs w:val="24"/>
        </w:rPr>
        <w:t>Methods</w:t>
      </w:r>
    </w:p>
    <w:p w14:paraId="6424A0AE" w14:textId="60581E97" w:rsidR="00BD14BC" w:rsidRDefault="00BD14BC" w:rsidP="007314EA">
      <w:pPr>
        <w:spacing w:after="0" w:line="480" w:lineRule="auto"/>
        <w:ind w:firstLine="0"/>
        <w:rPr>
          <w:rFonts w:ascii="Times New Roman" w:hAnsi="Times New Roman" w:cs="Times New Roman"/>
          <w:b/>
          <w:bCs/>
          <w:sz w:val="24"/>
          <w:szCs w:val="24"/>
        </w:rPr>
      </w:pPr>
      <w:r>
        <w:rPr>
          <w:rFonts w:ascii="Times New Roman" w:hAnsi="Times New Roman" w:cs="Times New Roman"/>
          <w:b/>
          <w:bCs/>
          <w:sz w:val="24"/>
          <w:szCs w:val="24"/>
        </w:rPr>
        <w:t>Cohort and Sequencing</w:t>
      </w:r>
    </w:p>
    <w:p w14:paraId="74CC50CF" w14:textId="16850A6F" w:rsidR="002A31F0" w:rsidRDefault="002A31F0" w:rsidP="007314EA">
      <w:pPr>
        <w:spacing w:after="0" w:line="480" w:lineRule="auto"/>
        <w:jc w:val="left"/>
        <w:rPr>
          <w:rFonts w:ascii="Times New Roman" w:hAnsi="Times New Roman" w:cs="Times New Roman"/>
          <w:sz w:val="24"/>
          <w:szCs w:val="24"/>
        </w:rPr>
      </w:pPr>
      <w:r>
        <w:rPr>
          <w:rFonts w:ascii="Times New Roman" w:hAnsi="Times New Roman" w:cs="Times New Roman"/>
          <w:sz w:val="24"/>
          <w:szCs w:val="24"/>
        </w:rPr>
        <w:t xml:space="preserve">Sputum specimens were </w:t>
      </w:r>
      <w:r w:rsidR="005C752A">
        <w:rPr>
          <w:rFonts w:ascii="Times New Roman" w:hAnsi="Times New Roman" w:cs="Times New Roman"/>
          <w:sz w:val="24"/>
          <w:szCs w:val="24"/>
        </w:rPr>
        <w:t>collected</w:t>
      </w:r>
      <w:r>
        <w:rPr>
          <w:rFonts w:ascii="Times New Roman" w:hAnsi="Times New Roman" w:cs="Times New Roman"/>
          <w:sz w:val="24"/>
          <w:szCs w:val="24"/>
        </w:rPr>
        <w:t xml:space="preserve"> from a </w:t>
      </w:r>
      <w:r w:rsidR="00FE10AA">
        <w:rPr>
          <w:rFonts w:ascii="Times New Roman" w:hAnsi="Times New Roman" w:cs="Times New Roman"/>
          <w:sz w:val="24"/>
          <w:szCs w:val="24"/>
        </w:rPr>
        <w:t>TB</w:t>
      </w:r>
      <w:r>
        <w:rPr>
          <w:rFonts w:ascii="Times New Roman" w:hAnsi="Times New Roman" w:cs="Times New Roman"/>
          <w:sz w:val="24"/>
          <w:szCs w:val="24"/>
        </w:rPr>
        <w:t xml:space="preserve"> treatment cohort enrolled at a tertiary hospital in the Greater Accra Region, Accra, Ghana</w:t>
      </w:r>
      <w:r w:rsidR="00F32614">
        <w:rPr>
          <w:rFonts w:ascii="Times New Roman" w:hAnsi="Times New Roman" w:cs="Times New Roman"/>
          <w:sz w:val="24"/>
          <w:szCs w:val="24"/>
        </w:rPr>
        <w:t>, between July 2022 and June 2023</w:t>
      </w:r>
      <w:r w:rsidR="009A025C">
        <w:rPr>
          <w:rFonts w:ascii="Times New Roman" w:hAnsi="Times New Roman" w:cs="Times New Roman"/>
          <w:sz w:val="24"/>
          <w:szCs w:val="24"/>
        </w:rPr>
        <w:t xml:space="preserve">. Eligibility required suspicion of </w:t>
      </w:r>
      <w:r w:rsidR="00BC668C">
        <w:rPr>
          <w:rFonts w:ascii="Times New Roman" w:hAnsi="Times New Roman" w:cs="Times New Roman"/>
          <w:sz w:val="24"/>
          <w:szCs w:val="24"/>
        </w:rPr>
        <w:t>TB</w:t>
      </w:r>
      <w:r w:rsidR="00DA2864">
        <w:rPr>
          <w:rFonts w:ascii="Times New Roman" w:hAnsi="Times New Roman" w:cs="Times New Roman"/>
          <w:sz w:val="24"/>
          <w:szCs w:val="24"/>
        </w:rPr>
        <w:t xml:space="preserve">, age 15 and older, and written informed </w:t>
      </w:r>
      <w:r w:rsidR="00A35908">
        <w:rPr>
          <w:rFonts w:ascii="Times New Roman" w:hAnsi="Times New Roman" w:cs="Times New Roman"/>
          <w:sz w:val="24"/>
          <w:szCs w:val="24"/>
        </w:rPr>
        <w:t>consent</w:t>
      </w:r>
      <w:r w:rsidR="00A35908">
        <w:rPr>
          <w:rFonts w:ascii="Times New Roman" w:hAnsi="Times New Roman" w:cs="Times New Roman"/>
          <w:sz w:val="24"/>
          <w:szCs w:val="24"/>
        </w:rPr>
        <w:fldChar w:fldCharType="begin"/>
      </w:r>
      <w:r w:rsidR="001B10B5">
        <w:rPr>
          <w:rFonts w:ascii="Times New Roman" w:hAnsi="Times New Roman" w:cs="Times New Roman"/>
          <w:sz w:val="24"/>
          <w:szCs w:val="24"/>
        </w:rPr>
        <w:instrText xml:space="preserve"> ADDIN ZOTERO_ITEM CSL_CITATION {"citationID":"jllsoghC","properties":{"unsorted":false,"formattedCitation":"\\super 8\\nosupersub{}","plainCitation":"8","noteIndex":0},"citationItems":[{"id":9991,"uris":["http://zotero.org/users/56896/items/HKYHNBNR"],"itemData":{"id":9991,"type":"article-journal","abstract":"Effective TB control in rapidly changing sociodemographic settings with high TB prevalence requires understanding the evolving social and behavioral determinants of disease risk. This study examined the spatial distribution of TB cases and assessed whether shared clinical and social characteristics were associated with closer residential proximity in the Greater Accra Region, Ghana. Between June 2022 and July 2023, individuals with new and previously treated TB were enrolled at a referral hospital in the Accra Metropolitan Area. Participants completed structured questionnaires on demographic, clinical, and behavioral risk factors, and residential coordinates were collected during home-based contact tracing. Spatial clustering was evaluated using local Moran’s I statistics. A Bayesian cross-random effects gamma regression model examined the association between shared characteristics and residential proximity, with distances shifted, centered, and rescaled for interpretation. The study population (N = 150) was predominantly male (68.0%) and of working age (80.0% aged 25–64&amp;nbsp;years), with 51.3% engaged in unskilled labor. Spatial analysis identified localized clusters of TB cases in high-density residential areas. Sharing the same religious affiliation, reporting recent exposure to household or non-household individuals with cough, and hemoptysis were modestly associated with closer residential proximity, although the effect sizes were small and credible intervals were close to the null. Treatment history demonstrated strong spatial patterns, with previously treated cases clustering more tightly than newly diagnosed cases. TB cases exhibited spatial clustering linked to shared clinical and social risk factors. Although residential proximity does not directly indicate transmission sites, tighter clustering among previously treated cases may reflect both sustained exposure to high-transmission environments and barriers to completing effective treatment. Other shared characteristics, including religious affiliation, non-household exposure to individuals with cough, and hemoptysis, were modestly associated with closer proximity, but their clinical and public health significance remains uncertain. Targeted interventions in identified hotspots, alongside strategies to improve treatment completion and long-term outcomes, may support TB control efforts in this urban high TB/HIV burden setting.","container-title":"Scientific Reports","DOI":"10.1038/s41598-025-23120-w","ISSN":"2045-2322","issue":"1","journalAbbreviation":"Sci Rep","language":"en","license":"2025 The Author(s)","page":"1-11","publisher":"Nature Publishing Group","source":"www.nature.com","title":"Geospatial analysis of shared risks for tuberculosis transmission in an urban cohort","volume":"15","author":[{"family":"Asare-Baah","given":"Michael"},{"family":"Luong","given":"Tan M."},{"family":"Kwarteng","given":"Ernest"},{"family":"Domotey","given":"Charles"},{"family":"Arthur","given":"Nellie"},{"family":"Zoungrana","given":"Magalie"},{"family":"Mireku-Apah","given":"Sheila"},{"family":"Ganu","given":"Honesty"},{"family":"Omari","given":"Michael Amo"},{"family":"Sackey","given":"Adelaide"},{"family":"Kwara","given":"Awewura"},{"family":"Afriyie-Mensah","given":"Jane Sandra"},{"family":"Séraphin","given":"Marie Nancy"}],"issued":{"date-parts":[["2025",11,11]]}}}],"schema":"https://github.com/citation-style-language/schema/raw/master/csl-citation.json"} </w:instrText>
      </w:r>
      <w:r w:rsidR="00A35908">
        <w:rPr>
          <w:rFonts w:ascii="Times New Roman" w:hAnsi="Times New Roman" w:cs="Times New Roman"/>
          <w:sz w:val="24"/>
          <w:szCs w:val="24"/>
        </w:rPr>
        <w:fldChar w:fldCharType="separate"/>
      </w:r>
      <w:r w:rsidR="001B10B5" w:rsidRPr="001B10B5">
        <w:rPr>
          <w:rFonts w:ascii="Times New Roman" w:hAnsi="Times New Roman" w:cs="Times New Roman"/>
          <w:kern w:val="0"/>
          <w:sz w:val="24"/>
          <w:szCs w:val="24"/>
          <w:vertAlign w:val="superscript"/>
        </w:rPr>
        <w:t>8</w:t>
      </w:r>
      <w:r w:rsidR="00A35908">
        <w:rPr>
          <w:rFonts w:ascii="Times New Roman" w:hAnsi="Times New Roman" w:cs="Times New Roman"/>
          <w:sz w:val="24"/>
          <w:szCs w:val="24"/>
        </w:rPr>
        <w:fldChar w:fldCharType="end"/>
      </w:r>
      <w:r w:rsidR="00AB60D7">
        <w:rPr>
          <w:rFonts w:ascii="Times New Roman" w:hAnsi="Times New Roman" w:cs="Times New Roman"/>
          <w:sz w:val="24"/>
          <w:szCs w:val="24"/>
        </w:rPr>
        <w:t xml:space="preserve">. </w:t>
      </w:r>
      <w:r w:rsidR="008B001E">
        <w:rPr>
          <w:rFonts w:ascii="Times New Roman" w:hAnsi="Times New Roman" w:cs="Times New Roman"/>
          <w:sz w:val="24"/>
          <w:szCs w:val="24"/>
        </w:rPr>
        <w:t>Sputum samples</w:t>
      </w:r>
      <w:r w:rsidR="00EE6A94">
        <w:rPr>
          <w:rFonts w:ascii="Times New Roman" w:hAnsi="Times New Roman" w:cs="Times New Roman"/>
          <w:sz w:val="24"/>
          <w:szCs w:val="24"/>
        </w:rPr>
        <w:t xml:space="preserve"> were collected at three timepoints: pre</w:t>
      </w:r>
      <w:r w:rsidR="0033382C">
        <w:rPr>
          <w:rFonts w:ascii="Times New Roman" w:hAnsi="Times New Roman" w:cs="Times New Roman"/>
          <w:sz w:val="24"/>
          <w:szCs w:val="24"/>
        </w:rPr>
        <w:t>-treatment (M0), four weeks (M1) and eight weeks (M2)</w:t>
      </w:r>
      <w:r w:rsidR="00EA784D">
        <w:rPr>
          <w:rFonts w:ascii="Times New Roman" w:hAnsi="Times New Roman" w:cs="Times New Roman"/>
          <w:sz w:val="24"/>
          <w:szCs w:val="24"/>
        </w:rPr>
        <w:t xml:space="preserve"> after treatment initiation</w:t>
      </w:r>
      <w:r w:rsidR="0033382C">
        <w:rPr>
          <w:rFonts w:ascii="Times New Roman" w:hAnsi="Times New Roman" w:cs="Times New Roman"/>
          <w:sz w:val="24"/>
          <w:szCs w:val="24"/>
        </w:rPr>
        <w:t xml:space="preserve">. At each timepoint, participants contributed up to three independent sputa collected within a 24-hour window: an early morning (EM) and two spot expectorates (S1 and S2), with S2 collected at least two hours after S1. </w:t>
      </w:r>
      <w:r w:rsidR="00BB3330">
        <w:rPr>
          <w:rFonts w:ascii="Times New Roman" w:hAnsi="Times New Roman" w:cs="Times New Roman"/>
          <w:sz w:val="24"/>
          <w:szCs w:val="24"/>
        </w:rPr>
        <w:t>Each specimen was decontaminated using 1% N</w:t>
      </w:r>
      <w:r w:rsidR="00A9430E">
        <w:rPr>
          <w:rFonts w:ascii="Times New Roman" w:hAnsi="Times New Roman" w:cs="Times New Roman"/>
          <w:sz w:val="24"/>
          <w:szCs w:val="24"/>
        </w:rPr>
        <w:t>a</w:t>
      </w:r>
      <w:r w:rsidR="00BB3330">
        <w:rPr>
          <w:rFonts w:ascii="Times New Roman" w:hAnsi="Times New Roman" w:cs="Times New Roman"/>
          <w:sz w:val="24"/>
          <w:szCs w:val="24"/>
        </w:rPr>
        <w:t>OH</w:t>
      </w:r>
      <w:r w:rsidR="00277BCF">
        <w:rPr>
          <w:rFonts w:ascii="Times New Roman" w:hAnsi="Times New Roman" w:cs="Times New Roman"/>
          <w:sz w:val="24"/>
          <w:szCs w:val="24"/>
        </w:rPr>
        <w:t xml:space="preserve">, </w:t>
      </w:r>
      <w:r w:rsidR="00BB3330">
        <w:rPr>
          <w:rFonts w:ascii="Times New Roman" w:hAnsi="Times New Roman" w:cs="Times New Roman"/>
          <w:sz w:val="24"/>
          <w:szCs w:val="24"/>
        </w:rPr>
        <w:t xml:space="preserve">cultured </w:t>
      </w:r>
      <w:r w:rsidR="00483F91">
        <w:rPr>
          <w:rFonts w:ascii="Times New Roman" w:hAnsi="Times New Roman" w:cs="Times New Roman"/>
          <w:sz w:val="24"/>
          <w:szCs w:val="24"/>
        </w:rPr>
        <w:t>for up to six weeks in MGIT</w:t>
      </w:r>
      <w:r w:rsidR="00AB1120">
        <w:rPr>
          <w:rFonts w:ascii="Times New Roman" w:hAnsi="Times New Roman" w:cs="Times New Roman"/>
          <w:sz w:val="24"/>
          <w:szCs w:val="24"/>
        </w:rPr>
        <w:t xml:space="preserve">, and sequenced </w:t>
      </w:r>
      <w:r w:rsidR="001A5FE5">
        <w:rPr>
          <w:rFonts w:ascii="Times New Roman" w:hAnsi="Times New Roman" w:cs="Times New Roman"/>
          <w:sz w:val="24"/>
          <w:szCs w:val="24"/>
        </w:rPr>
        <w:t xml:space="preserve">in one batch </w:t>
      </w:r>
      <w:r w:rsidR="00AB1120">
        <w:rPr>
          <w:rFonts w:ascii="Times New Roman" w:hAnsi="Times New Roman" w:cs="Times New Roman"/>
          <w:sz w:val="24"/>
          <w:szCs w:val="24"/>
        </w:rPr>
        <w:t>using Illumina N</w:t>
      </w:r>
      <w:r w:rsidR="00862A5C">
        <w:rPr>
          <w:rFonts w:ascii="Times New Roman" w:hAnsi="Times New Roman" w:cs="Times New Roman"/>
          <w:sz w:val="24"/>
          <w:szCs w:val="24"/>
        </w:rPr>
        <w:t xml:space="preserve">ovaSeq platform </w:t>
      </w:r>
      <w:r w:rsidR="00B71F33">
        <w:rPr>
          <w:rFonts w:ascii="Times New Roman" w:hAnsi="Times New Roman" w:cs="Times New Roman"/>
          <w:sz w:val="24"/>
          <w:szCs w:val="24"/>
        </w:rPr>
        <w:t>(paired-end, whole-genome)</w:t>
      </w:r>
      <w:r w:rsidR="00277BCF">
        <w:rPr>
          <w:rFonts w:ascii="Times New Roman" w:hAnsi="Times New Roman" w:cs="Times New Roman"/>
          <w:sz w:val="24"/>
          <w:szCs w:val="24"/>
        </w:rPr>
        <w:t xml:space="preserve">. </w:t>
      </w:r>
    </w:p>
    <w:p w14:paraId="2426C830" w14:textId="22FAAC0F" w:rsidR="00102C6F" w:rsidRDefault="00102C6F" w:rsidP="007314EA">
      <w:pPr>
        <w:spacing w:after="0" w:line="48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Variant calling </w:t>
      </w:r>
    </w:p>
    <w:p w14:paraId="0B226865" w14:textId="4063A163" w:rsidR="0054706E" w:rsidRDefault="00102C6F" w:rsidP="007314EA">
      <w:pPr>
        <w:spacing w:after="0" w:line="480" w:lineRule="auto"/>
        <w:ind w:firstLine="0"/>
        <w:jc w:val="left"/>
        <w:rPr>
          <w:rFonts w:ascii="Times New Roman" w:hAnsi="Times New Roman" w:cs="Times New Roman"/>
          <w:sz w:val="24"/>
          <w:szCs w:val="24"/>
        </w:rPr>
      </w:pPr>
      <w:r>
        <w:rPr>
          <w:rFonts w:ascii="Times New Roman" w:hAnsi="Times New Roman" w:cs="Times New Roman"/>
          <w:b/>
          <w:bCs/>
          <w:sz w:val="24"/>
          <w:szCs w:val="24"/>
        </w:rPr>
        <w:lastRenderedPageBreak/>
        <w:tab/>
      </w:r>
      <w:r w:rsidR="005C6503" w:rsidRPr="005C6503">
        <w:rPr>
          <w:rFonts w:ascii="Times New Roman" w:hAnsi="Times New Roman" w:cs="Times New Roman"/>
          <w:sz w:val="24"/>
          <w:szCs w:val="24"/>
        </w:rPr>
        <w:t>After quality trimming with Trimmomatic</w:t>
      </w:r>
      <w:r w:rsidR="00BF520F">
        <w:rPr>
          <w:rFonts w:ascii="Times New Roman" w:hAnsi="Times New Roman" w:cs="Times New Roman"/>
          <w:sz w:val="24"/>
          <w:szCs w:val="24"/>
        </w:rPr>
        <w:fldChar w:fldCharType="begin"/>
      </w:r>
      <w:r w:rsidR="001B10B5">
        <w:rPr>
          <w:rFonts w:ascii="Times New Roman" w:hAnsi="Times New Roman" w:cs="Times New Roman"/>
          <w:sz w:val="24"/>
          <w:szCs w:val="24"/>
        </w:rPr>
        <w:instrText xml:space="preserve"> ADDIN ZOTERO_ITEM CSL_CITATION {"citationID":"BzNw1LwH","properties":{"unsorted":false,"formattedCitation":"\\super 9\\nosupersub{}","plainCitation":"9","noteIndex":0},"citationItems":[{"id":193,"uris":["http://zotero.org/users/56896/items/BZ6SQLL7"],"itemData":{"id":193,"type":"article-journal","abstract":"Motivation: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 Contact:\nusadel@bio1.rwth-aachen.de, Supplementary information:\nSupplementary data are available at Bioinformatics online.","container-title":"Bioinformatics","DOI":"10.1093/bioinformatics/btu170","ISSN":"1367-4803","issue":"15","journalAbbreviation":"Bioinformatics","page":"2114-2120","PMID":"24695404","PMCID":"PMC4103590","source":"PubMed Central","title":"Trimmomatic: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BF520F">
        <w:rPr>
          <w:rFonts w:ascii="Times New Roman" w:hAnsi="Times New Roman" w:cs="Times New Roman"/>
          <w:sz w:val="24"/>
          <w:szCs w:val="24"/>
        </w:rPr>
        <w:fldChar w:fldCharType="separate"/>
      </w:r>
      <w:r w:rsidR="001B10B5" w:rsidRPr="001B10B5">
        <w:rPr>
          <w:rFonts w:ascii="Times New Roman" w:hAnsi="Times New Roman" w:cs="Times New Roman"/>
          <w:kern w:val="0"/>
          <w:sz w:val="24"/>
          <w:szCs w:val="24"/>
          <w:vertAlign w:val="superscript"/>
        </w:rPr>
        <w:t>9</w:t>
      </w:r>
      <w:r w:rsidR="00BF520F">
        <w:rPr>
          <w:rFonts w:ascii="Times New Roman" w:hAnsi="Times New Roman" w:cs="Times New Roman"/>
          <w:sz w:val="24"/>
          <w:szCs w:val="24"/>
        </w:rPr>
        <w:fldChar w:fldCharType="end"/>
      </w:r>
      <w:r w:rsidR="005C6503" w:rsidRPr="005C6503">
        <w:rPr>
          <w:rFonts w:ascii="Times New Roman" w:hAnsi="Times New Roman" w:cs="Times New Roman"/>
          <w:sz w:val="24"/>
          <w:szCs w:val="24"/>
        </w:rPr>
        <w:t>, s</w:t>
      </w:r>
      <w:r w:rsidRPr="005C6503">
        <w:rPr>
          <w:rFonts w:ascii="Times New Roman" w:hAnsi="Times New Roman" w:cs="Times New Roman"/>
          <w:sz w:val="24"/>
          <w:szCs w:val="24"/>
        </w:rPr>
        <w:t>equencing</w:t>
      </w:r>
      <w:r>
        <w:rPr>
          <w:rFonts w:ascii="Times New Roman" w:hAnsi="Times New Roman" w:cs="Times New Roman"/>
          <w:sz w:val="24"/>
          <w:szCs w:val="24"/>
        </w:rPr>
        <w:t xml:space="preserve"> reads were aligned to the </w:t>
      </w:r>
      <w:r w:rsidR="00F923D5">
        <w:rPr>
          <w:rFonts w:ascii="Times New Roman" w:hAnsi="Times New Roman" w:cs="Times New Roman"/>
          <w:i/>
          <w:iCs/>
          <w:sz w:val="24"/>
          <w:szCs w:val="24"/>
        </w:rPr>
        <w:t>M.</w:t>
      </w:r>
      <w:r>
        <w:rPr>
          <w:rFonts w:ascii="Times New Roman" w:hAnsi="Times New Roman" w:cs="Times New Roman"/>
          <w:i/>
          <w:iCs/>
          <w:sz w:val="24"/>
          <w:szCs w:val="24"/>
        </w:rPr>
        <w:t xml:space="preserve"> tuberculosis</w:t>
      </w:r>
      <w:r>
        <w:rPr>
          <w:rFonts w:ascii="Times New Roman" w:hAnsi="Times New Roman" w:cs="Times New Roman"/>
          <w:sz w:val="24"/>
          <w:szCs w:val="24"/>
        </w:rPr>
        <w:t xml:space="preserve"> H37Rv reference genome (NC_000962.3)</w:t>
      </w:r>
      <w:r>
        <w:rPr>
          <w:rFonts w:ascii="Times New Roman" w:hAnsi="Times New Roman" w:cs="Times New Roman"/>
          <w:sz w:val="24"/>
          <w:szCs w:val="24"/>
        </w:rPr>
        <w:fldChar w:fldCharType="begin"/>
      </w:r>
      <w:r w:rsidR="001B10B5">
        <w:rPr>
          <w:rFonts w:ascii="Times New Roman" w:hAnsi="Times New Roman" w:cs="Times New Roman"/>
          <w:sz w:val="24"/>
          <w:szCs w:val="24"/>
        </w:rPr>
        <w:instrText xml:space="preserve"> ADDIN ZOTERO_ITEM CSL_CITATION {"citationID":"hYiT03Kq","properties":{"formattedCitation":"\\super 10\\nosupersub{}","plainCitation":"10","noteIndex":0},"citationItems":[{"id":1106,"uris":["http://zotero.org/users/56896/items/CMFUG6RR"],"itemData":{"id":1106,"type":"article-journal","abstract":"Countless millions of people have died from tuberculosis, a chronic infectious disease caused by the tubercle bacillus. The complete genome sequence of the best-characterized strain of Mycobacterium tuberculosis, H37Rv, has been determined and analysed in order to improve our understanding of the biology of this slow-growing pathogen and to help the conception of new prophylactic and therapeutic interventions. The genome comprises 4,411,529 base pairs, contains around 4,000 genes, and has a very high guanine + cytosine content that is reflected in the biased amino-acid content of the proteins. M. tuberculosis differs radically from other bacteria in that a very large portion of its coding capacity is devoted to the production of enzymes involved in lipogenesis and lipolysis, and to two new families of glycine-rich proteins with a repetitive structure that may represent a source of antigenic variation.","container-title":"Nature","DOI":"10.1038/31159","ISSN":"0028-0836","issue":"6685","journalAbbreviation":"Nature","language":"eng","page":"537-544","PMID":"9634230","source":"NCBI PubMed","title":"Deciphering the biology of Mycobacterium tuberculosis from the complete genome sequence","volume":"393","author":[{"family":"Cole","given":"S. T."},{"family":"Brosch","given":"R."},{"family":"Parkhill","given":"J."},{"family":"Garnier","given":"T."},{"family":"Churcher","given":"C."},{"family":"Harris","given":"D."},{"family":"Gordon","given":"S. V."},{"family":"Eiglmeier","given":"K."},{"family":"Gas","given":"S."},{"family":"Barry","given":"C. E."},{"family":"Tekaia","given":"F."},{"family":"Badcock","given":"K."},{"family":"Basham","given":"D."},{"family":"Brown","given":"D."},{"family":"Chillingworth","given":"T."},{"family":"Connor","given":"R."},{"family":"Davies","given":"R."},{"family":"Devlin","given":"K."},{"family":"Feltwell","given":"T."},{"family":"Gentles","given":"S."},{"family":"Hamlin","given":"N."},{"family":"Holroyd","given":"S."},{"family":"Hornsby","given":"T."},{"family":"Jagels","given":"K."},{"family":"Krogh","given":"A."},{"family":"McLean","given":"J."},{"family":"Moule","given":"S."},{"family":"Murphy","given":"L."},{"family":"Oliver","given":"K."},{"family":"Osborne","given":"J."},{"family":"Quail","given":"M. A."},{"family":"Rajandream","given":"M. A."},{"family":"Rogers","given":"J."},{"family":"Rutter","given":"S."},{"family":"Seeger","given":"K."},{"family":"Skelton","given":"J."},{"family":"Squares","given":"R."},{"family":"Squares","given":"S."},{"family":"Sulston","given":"J. E."},{"family":"Taylor","given":"K."},{"family":"Whitehead","given":"S."},{"family":"Barrell","given":"B. G."}],"issued":{"date-parts":[["1998",6,11]]}}}],"schema":"https://github.com/citation-style-language/schema/raw/master/csl-citation.json"} </w:instrText>
      </w:r>
      <w:r>
        <w:rPr>
          <w:rFonts w:ascii="Times New Roman" w:hAnsi="Times New Roman" w:cs="Times New Roman"/>
          <w:sz w:val="24"/>
          <w:szCs w:val="24"/>
        </w:rPr>
        <w:fldChar w:fldCharType="separate"/>
      </w:r>
      <w:r w:rsidR="001B10B5" w:rsidRPr="001B10B5">
        <w:rPr>
          <w:rFonts w:ascii="Times New Roman" w:hAnsi="Times New Roman" w:cs="Times New Roman"/>
          <w:kern w:val="0"/>
          <w:sz w:val="24"/>
          <w:szCs w:val="24"/>
          <w:vertAlign w:val="superscript"/>
        </w:rPr>
        <w:t>10</w:t>
      </w:r>
      <w:r>
        <w:rPr>
          <w:rFonts w:ascii="Times New Roman" w:hAnsi="Times New Roman" w:cs="Times New Roman"/>
          <w:sz w:val="24"/>
          <w:szCs w:val="24"/>
        </w:rPr>
        <w:fldChar w:fldCharType="end"/>
      </w:r>
      <w:r>
        <w:rPr>
          <w:rFonts w:ascii="Times New Roman" w:hAnsi="Times New Roman" w:cs="Times New Roman"/>
          <w:sz w:val="24"/>
          <w:szCs w:val="24"/>
        </w:rPr>
        <w:t xml:space="preserve"> using BWA-MEM</w:t>
      </w:r>
      <w:r>
        <w:rPr>
          <w:rFonts w:ascii="Times New Roman" w:hAnsi="Times New Roman" w:cs="Times New Roman"/>
          <w:sz w:val="24"/>
          <w:szCs w:val="24"/>
        </w:rPr>
        <w:fldChar w:fldCharType="begin"/>
      </w:r>
      <w:r w:rsidR="001B10B5">
        <w:rPr>
          <w:rFonts w:ascii="Times New Roman" w:hAnsi="Times New Roman" w:cs="Times New Roman"/>
          <w:sz w:val="24"/>
          <w:szCs w:val="24"/>
        </w:rPr>
        <w:instrText xml:space="preserve"> ADDIN ZOTERO_ITEM CSL_CITATION {"citationID":"TMEVZu1j","properties":{"formattedCitation":"\\super 11\\nosupersub{}","plainCitation":"11","noteIndex":0},"citationItems":[{"id":13273,"uris":["http://zotero.org/users/56896/items/RD75FESK"],"itemData":{"id":13273,"type":"article","abstract":"Summary: BWA-MEM is a new alignment algorithm for aligning sequence reads or long query sequences against a large reference genome such as human. It automatically chooses between local and end-to-end alignments, supports paired-end reads and performs chimeric alignment. The algorithm is robust to sequencing errors and applicable to a wide range of sequence lengths from 70bp to a few megabases. For mapping 100bp sequences, BWA-MEM shows better performance than several state-of-art read aligners to date. Availability and implementation: BWA-MEM is implemented as a component of BWA, which is available at http://github.com/lh3/bwa. Contact: hengli@broadinstitute.org","DOI":"10.48550/arXiv.1303.3997","note":"arXiv:1303.3997 [q-bio]","number":"arXiv:1303.3997","publisher":"arXiv","source":"arXiv.org","title":"Aligning sequence reads, clone sequences and assembly contigs with BWA-MEM","URL":"http://arxiv.org/abs/1303.3997","author":[{"family":"Li","given":"Heng"}],"accessed":{"date-parts":[["2026",4,29]]},"issued":{"date-parts":[["2013",5,26]]}}}],"schema":"https://github.com/citation-style-language/schema/raw/master/csl-citation.json"} </w:instrText>
      </w:r>
      <w:r>
        <w:rPr>
          <w:rFonts w:ascii="Times New Roman" w:hAnsi="Times New Roman" w:cs="Times New Roman"/>
          <w:sz w:val="24"/>
          <w:szCs w:val="24"/>
        </w:rPr>
        <w:fldChar w:fldCharType="separate"/>
      </w:r>
      <w:r w:rsidR="001B10B5" w:rsidRPr="001B10B5">
        <w:rPr>
          <w:rFonts w:ascii="Times New Roman" w:hAnsi="Times New Roman" w:cs="Times New Roman"/>
          <w:kern w:val="0"/>
          <w:sz w:val="24"/>
          <w:szCs w:val="24"/>
          <w:vertAlign w:val="superscript"/>
        </w:rPr>
        <w:t>11</w:t>
      </w:r>
      <w:r>
        <w:rPr>
          <w:rFonts w:ascii="Times New Roman" w:hAnsi="Times New Roman" w:cs="Times New Roman"/>
          <w:sz w:val="24"/>
          <w:szCs w:val="24"/>
        </w:rPr>
        <w:fldChar w:fldCharType="end"/>
      </w:r>
      <w:r>
        <w:rPr>
          <w:rFonts w:ascii="Times New Roman" w:hAnsi="Times New Roman" w:cs="Times New Roman"/>
          <w:sz w:val="24"/>
          <w:szCs w:val="24"/>
        </w:rPr>
        <w:t xml:space="preserve"> and processed through a GATK-based variant calling pipeline</w:t>
      </w:r>
      <w:r>
        <w:rPr>
          <w:rFonts w:ascii="Times New Roman" w:hAnsi="Times New Roman" w:cs="Times New Roman"/>
          <w:sz w:val="24"/>
          <w:szCs w:val="24"/>
        </w:rPr>
        <w:fldChar w:fldCharType="begin"/>
      </w:r>
      <w:r w:rsidR="001B10B5">
        <w:rPr>
          <w:rFonts w:ascii="Times New Roman" w:hAnsi="Times New Roman" w:cs="Times New Roman"/>
          <w:sz w:val="24"/>
          <w:szCs w:val="24"/>
        </w:rPr>
        <w:instrText xml:space="preserve"> ADDIN ZOTERO_ITEM CSL_CITATION {"citationID":"I3aqsp6U","properties":{"formattedCitation":"\\super 12,13\\nosupersub{}","plainCitation":"12,13","noteIndex":0},"citationItems":[{"id":9806,"uris":["http://zotero.org/users/56896/items/FGTMX5KF"],"itemData":{"id":9806,"type":"article-journal","container-title":"The Lancet Microbe","DOI":"10.1016/j.lanmic.2024.06.003","ISSN":"2666-5247","issue":"1","journalAbbreviation":"The Lancet Microbe","language":"English","PMID":"39615498","publisher":"Elsevier","source":"www.thelancet.com","title":"Signatures of transmission in within-host Mycobacterium tuberculosis complex variation: a retrospective genomic epidemiology study","title-short":"Signatures of transmission in within-host Mycobacterium tuberculosis complex variation","URL":"https://www.thelancet.com/journals/lanmic/article/PIIS2666-5247(24)00189-7/fulltext","volume":"6","author":[{"family":"Walter","given":"Katharine S."},{"family":"Cohen","given":"Ted"},{"family":"Mathema","given":"Barun"},{"family":"Colijn","given":"Caroline"},{"family":"Sobkowiak","given":"Benjamin"},{"family":"Comas","given":"Iñaki"},{"family":"Goig","given":"Galo A."},{"family":"Croda","given":"Julio"},{"family":"Andrews","given":"Jason R."}],"accessed":{"date-parts":[["2025",9,26]]},"issued":{"date-parts":[["2025",1,1]]}}},{"id":12986,"uris":["http://zotero.org/users/56896/items/AKE6SS4Y"],"itemData":{"id":12986,"type":"book","abstract":"1 online resource (1 volume) : illustrations","publisher":"O'Reilly Media, [2020] ©2020","publisher-place":"First edition. Sebastopol, CA","source":"University of Wisconsin-Madison Libraries Catalog","title":"Genomics in the cloud : using Docker, GATK, and WDL in Terra","title-short":"Genomics in the cloud","URL":"https://search.library.wisc.edu/catalog/9913038192802121","author":[{"family":"Van der Auwera","given":"Geraldine A.","suffix":"author"}],"accessed":{"date-parts":[["2026",4,20]]},"issued":{"date-parts":[["2020"]]}}}],"schema":"https://github.com/citation-style-language/schema/raw/master/csl-citation.json"} </w:instrText>
      </w:r>
      <w:r>
        <w:rPr>
          <w:rFonts w:ascii="Times New Roman" w:hAnsi="Times New Roman" w:cs="Times New Roman"/>
          <w:sz w:val="24"/>
          <w:szCs w:val="24"/>
        </w:rPr>
        <w:fldChar w:fldCharType="separate"/>
      </w:r>
      <w:r w:rsidR="001B10B5" w:rsidRPr="001B10B5">
        <w:rPr>
          <w:rFonts w:ascii="Times New Roman" w:hAnsi="Times New Roman" w:cs="Times New Roman"/>
          <w:kern w:val="0"/>
          <w:sz w:val="24"/>
          <w:szCs w:val="24"/>
          <w:vertAlign w:val="superscript"/>
        </w:rPr>
        <w:t>12,13</w:t>
      </w:r>
      <w:r>
        <w:rPr>
          <w:rFonts w:ascii="Times New Roman" w:hAnsi="Times New Roman" w:cs="Times New Roman"/>
          <w:sz w:val="24"/>
          <w:szCs w:val="24"/>
        </w:rPr>
        <w:fldChar w:fldCharType="end"/>
      </w:r>
      <w:r>
        <w:rPr>
          <w:rFonts w:ascii="Times New Roman" w:hAnsi="Times New Roman" w:cs="Times New Roman"/>
          <w:sz w:val="24"/>
          <w:szCs w:val="24"/>
        </w:rPr>
        <w:t xml:space="preserve">. The pipeline produced, for each sample, a table of candidate variant positions annotated with </w:t>
      </w:r>
      <w:r w:rsidR="008E6C21">
        <w:rPr>
          <w:rFonts w:ascii="Times New Roman" w:hAnsi="Times New Roman" w:cs="Times New Roman"/>
          <w:sz w:val="24"/>
          <w:szCs w:val="24"/>
        </w:rPr>
        <w:t>DP</w:t>
      </w:r>
      <w:r>
        <w:rPr>
          <w:rFonts w:ascii="Times New Roman" w:hAnsi="Times New Roman" w:cs="Times New Roman"/>
          <w:sz w:val="24"/>
          <w:szCs w:val="24"/>
        </w:rPr>
        <w:t>,</w:t>
      </w:r>
      <w:r w:rsidR="008E6C21">
        <w:rPr>
          <w:rFonts w:ascii="Times New Roman" w:hAnsi="Times New Roman" w:cs="Times New Roman"/>
          <w:sz w:val="24"/>
          <w:szCs w:val="24"/>
        </w:rPr>
        <w:t xml:space="preserve"> A</w:t>
      </w:r>
      <w:r w:rsidR="00326017">
        <w:rPr>
          <w:rFonts w:ascii="Times New Roman" w:hAnsi="Times New Roman" w:cs="Times New Roman"/>
          <w:sz w:val="24"/>
          <w:szCs w:val="24"/>
        </w:rPr>
        <w:t>D</w:t>
      </w:r>
      <w:r>
        <w:rPr>
          <w:rFonts w:ascii="Times New Roman" w:hAnsi="Times New Roman" w:cs="Times New Roman"/>
          <w:sz w:val="24"/>
          <w:szCs w:val="24"/>
        </w:rPr>
        <w:t>, and MAF</w:t>
      </w:r>
      <w:r>
        <w:rPr>
          <w:rFonts w:ascii="Times New Roman" w:hAnsi="Times New Roman" w:cs="Times New Roman"/>
          <w:sz w:val="24"/>
          <w:szCs w:val="24"/>
        </w:rPr>
        <w:fldChar w:fldCharType="begin"/>
      </w:r>
      <w:r w:rsidR="001B10B5">
        <w:rPr>
          <w:rFonts w:ascii="Times New Roman" w:hAnsi="Times New Roman" w:cs="Times New Roman"/>
          <w:sz w:val="24"/>
          <w:szCs w:val="24"/>
        </w:rPr>
        <w:instrText xml:space="preserve"> ADDIN ZOTERO_ITEM CSL_CITATION {"citationID":"ZYnCYVTf","properties":{"formattedCitation":"\\super 12\\nosupersub{}","plainCitation":"12","noteIndex":0},"citationItems":[{"id":9806,"uris":["http://zotero.org/users/56896/items/FGTMX5KF"],"itemData":{"id":9806,"type":"article-journal","container-title":"The Lancet Microbe","DOI":"10.1016/j.lanmic.2024.06.003","ISSN":"2666-5247","issue":"1","journalAbbreviation":"The Lancet Microbe","language":"English","PMID":"39615498","publisher":"Elsevier","source":"www.thelancet.com","title":"Signatures of transmission in within-host Mycobacterium tuberculosis complex variation: a retrospective genomic epidemiology study","title-short":"Signatures of transmission in within-host Mycobacterium tuberculosis complex variation","URL":"https://www.thelancet.com/journals/lanmic/article/PIIS2666-5247(24)00189-7/fulltext","volume":"6","author":[{"family":"Walter","given":"Katharine S."},{"family":"Cohen","given":"Ted"},{"family":"Mathema","given":"Barun"},{"family":"Colijn","given":"Caroline"},{"family":"Sobkowiak","given":"Benjamin"},{"family":"Comas","given":"Iñaki"},{"family":"Goig","given":"Galo A."},{"family":"Croda","given":"Julio"},{"family":"Andrews","given":"Jason R."}],"accessed":{"date-parts":[["2025",9,26]]},"issued":{"date-parts":[["2025",1,1]]}}}],"schema":"https://github.com/citation-style-language/schema/raw/master/csl-citation.json"} </w:instrText>
      </w:r>
      <w:r>
        <w:rPr>
          <w:rFonts w:ascii="Times New Roman" w:hAnsi="Times New Roman" w:cs="Times New Roman"/>
          <w:sz w:val="24"/>
          <w:szCs w:val="24"/>
        </w:rPr>
        <w:fldChar w:fldCharType="separate"/>
      </w:r>
      <w:r w:rsidR="001B10B5" w:rsidRPr="001B10B5">
        <w:rPr>
          <w:rFonts w:ascii="Times New Roman" w:hAnsi="Times New Roman" w:cs="Times New Roman"/>
          <w:kern w:val="0"/>
          <w:sz w:val="24"/>
          <w:szCs w:val="24"/>
          <w:vertAlign w:val="superscript"/>
        </w:rPr>
        <w:t>12</w:t>
      </w:r>
      <w:r>
        <w:rPr>
          <w:rFonts w:ascii="Times New Roman" w:hAnsi="Times New Roman" w:cs="Times New Roman"/>
          <w:sz w:val="24"/>
          <w:szCs w:val="24"/>
        </w:rPr>
        <w:fldChar w:fldCharType="end"/>
      </w:r>
      <w:r>
        <w:rPr>
          <w:rFonts w:ascii="Times New Roman" w:hAnsi="Times New Roman" w:cs="Times New Roman"/>
          <w:sz w:val="24"/>
          <w:szCs w:val="24"/>
        </w:rPr>
        <w:t xml:space="preserve">. The analytic universe comprises all positions </w:t>
      </w:r>
      <w:r w:rsidR="00820748">
        <w:rPr>
          <w:rFonts w:ascii="Times New Roman" w:hAnsi="Times New Roman" w:cs="Times New Roman"/>
          <w:sz w:val="24"/>
          <w:szCs w:val="24"/>
        </w:rPr>
        <w:t>meeting</w:t>
      </w:r>
      <w:r>
        <w:rPr>
          <w:rFonts w:ascii="Times New Roman" w:hAnsi="Times New Roman" w:cs="Times New Roman"/>
          <w:sz w:val="24"/>
          <w:szCs w:val="24"/>
        </w:rPr>
        <w:t xml:space="preserve"> GATK’s PASS filter in at least one biological replicate of a within-visit pair, restricted to single-nucleotide variants (SNVs). </w:t>
      </w:r>
      <w:r w:rsidRPr="00A01E1E">
        <w:rPr>
          <w:rFonts w:ascii="Times New Roman" w:hAnsi="Times New Roman" w:cs="Times New Roman"/>
          <w:sz w:val="24"/>
          <w:szCs w:val="24"/>
        </w:rPr>
        <w:t xml:space="preserve">Variants in the PE/PPE gene families, which are repetitive GC-rich loci known to be enriched for sequencing and alignment artifacts in </w:t>
      </w:r>
      <w:r w:rsidRPr="00A01E1E">
        <w:rPr>
          <w:rFonts w:ascii="Times New Roman" w:hAnsi="Times New Roman" w:cs="Times New Roman"/>
          <w:i/>
          <w:iCs/>
          <w:sz w:val="24"/>
          <w:szCs w:val="24"/>
        </w:rPr>
        <w:t>M. tuberculosis</w:t>
      </w:r>
      <w:r w:rsidRPr="00A01E1E">
        <w:rPr>
          <w:rFonts w:ascii="Times New Roman" w:hAnsi="Times New Roman" w:cs="Times New Roman"/>
          <w:sz w:val="24"/>
          <w:szCs w:val="24"/>
        </w:rPr>
        <w:fldChar w:fldCharType="begin"/>
      </w:r>
      <w:r w:rsidR="001B10B5">
        <w:rPr>
          <w:rFonts w:ascii="Times New Roman" w:hAnsi="Times New Roman" w:cs="Times New Roman"/>
          <w:sz w:val="24"/>
          <w:szCs w:val="24"/>
        </w:rPr>
        <w:instrText xml:space="preserve"> ADDIN ZOTERO_ITEM CSL_CITATION {"citationID":"U2erO4o7","properties":{"formattedCitation":"\\super 14,15\\nosupersub{}","plainCitation":"14,15","noteIndex":0},"citationItems":[{"id":9811,"uris":["http://zotero.org/users/56896/items/QNFHZZPD"],"itemData":{"id":9811,"type":"article-journal","abstract":"Motivation\nShort-read whole-genome sequencing (WGS) is a vital tool for clinical applications and basic research. Genetic divergence from the reference genome, repetitive sequences and sequencing bias reduces the performance of variant calling using short-read alignment, but the loss in recall and specificity has not been adequately characterized. To benchmark short-read variant calling, we used 36 diverse clinical Mycobacterium tuberculosis (Mtb) isolates dually sequenced with Illumina short-reads and PacBio long-reads. We systematically studied the short-read variant calling accuracy and the influence of sequence uniqueness, reference bias and GC content.\n\nResults\nReference-based Illumina variant calling demonstrated a maximum recall of 89.0% and minimum precision of 98.5% across parameters evaluated. The approach that maximized variant recall while still maintaining high precision (&lt;99%) was tuning the mapping quality filtering threshold, i.e. confidence of the read mapping (recall = 85.8%, precision = 99.1%, MQ ≥ 40). Additional masking of repetitive sequence content is an alternative conservative approach to variant calling that increases precision at cost to recall (recall = 70.2%, precision = 99.6%, MQ ≥ 40). Of the genomic positions typically excluded for Mtb, 68% are accurately called using Illumina WGS including 52/168 PE/PPE genes (34.5%). From these results, we present a refined list of low confidence regions across the Mtb genome, which we found to frequently overlap with regions with structural variation, low sequence uniqueness and low sequencing coverage. Our benchmarking results have broad implications for the use of WGS in the study of Mtb biology, inference of transmission in public health surveillance systems and more generally for WGS applications in other organisms.\n\nAvailability and implementation\nAll relevant code is available at https://github.com/farhat-lab/mtb-illumina-wgs-evaluation.\n\nSupplementary information\n\n are available at Bioinformatics online.","container-title":"Bioinformatics","DOI":"10.1093/bioinformatics/btac023","ISSN":"1367-4803","issue":"7","journalAbbreviation":"Bioinformatics","page":"1781-1787","PMID":"35020793","PMCID":"PMC8963317","source":"PubMed Central","title":"Benchmarking the empirical accuracy of short-read sequencing across the M. tuberculosis genome","volume":"38","author":[{"family":"Marin","given":"Maximillian"},{"family":"Vargas","given":"Roger"},{"family":"Harris","given":"Michael"},{"family":"Jeffrey","given":"Brendan"},{"family":"Epperson","given":"L Elaine"},{"family":"Durbin","given":"David"},{"family":"Strong","given":"Michael"},{"family":"Salfinger","given":"Max"},{"family":"Iqbal","given":"Zamin"},{"family":"Akhundova","given":"Irada"},{"family":"Vashakidze","given":"Sergo"},{"family":"Crudu","given":"Valeriu"},{"family":"Rosenthal","given":"Alex"},{"family":"Farhat","given":"Maha Reda"}],"issued":{"date-parts":[["2022",1,10]]}}},{"id":270,"uris":["http://zotero.org/users/56896/items/DZ7ANF58"],"itemData":{"id":270,"type":"article-journal","abstract":"Approximately 10 % of the Mycobacterium tuberculosis genome is made up of two families of genes that are poorly characterized due to their high GC content and highly repetitive nature. The PE and PPE families are typified by their highly conserved N-terminal domains that incorporate proline-glutamate (PE) and proline-proline-glutamate (PPE) signature motifs. They are hypothesised to be important virulence factors involved with host-pathogen interactions, but their high genetic variability and complexity of analysis means they are typically disregarded in genome studies.","container-title":"BMC Genomics","DOI":"10.1186/s12864-016-2467-y","ISSN":"1471-2164","journalAbbreviation":"BMC Genomics","page":"151","source":"BioMed Central","title":"Recombination in pe/ppe genes contributes to genetic variation in Mycobacterium tuberculosis lineages","volume":"17","author":[{"family":"Phelan","given":"Jody E."},{"family":"Coll","given":"Francesc"},{"family":"Bergval","given":"Indra"},{"family":"Anthony","given":"Richard M."},{"family":"Warren","given":"Rob"},{"family":"Sampson","given":"Samantha L."},{"family":"Gey van Pittius","given":"Nicolaas C."},{"family":"Glynn","given":"Judith R."},{"family":"Crampin","given":"Amelia C."},{"family":"Alves","given":"Adriana"},{"family":"Bessa","given":"Theolis Barbosa"},{"family":"Campino","given":"Susana"},{"family":"Dheda","given":"Keertan"},{"family":"Grandjean","given":"Louis"},{"family":"Hasan","given":"Rumina"},{"family":"Hasan","given":"Zahra"},{"family":"Miranda","given":"Anabela"},{"family":"Moore","given":"David"},{"family":"Panaiotov","given":"Stefan"},{"family":"Perdigao","given":"Joao"},{"family":"Portugal","given":"Isabel"},{"family":"Sheen","given":"Patricia"},{"family":"Oliveira Sousa","given":"Erivelton","non-dropping-particle":"de"},{"family":"Streicher","given":"Elizabeth M."},{"family":"Helden","given":"Paul D.","non-dropping-particle":"van"},{"family":"Viveiros","given":"Miguel"},{"family":"Hibberd","given":"Martin L."},{"family":"Pain","given":"Arnab"},{"family":"McNerney","given":"Ruth"},{"family":"Clark","given":"Taane G."}],"issued":{"date-parts":[["2016"]]}}}],"schema":"https://github.com/citation-style-language/schema/raw/master/csl-citation.json"} </w:instrText>
      </w:r>
      <w:r w:rsidRPr="00A01E1E">
        <w:rPr>
          <w:rFonts w:ascii="Times New Roman" w:hAnsi="Times New Roman" w:cs="Times New Roman"/>
          <w:sz w:val="24"/>
          <w:szCs w:val="24"/>
        </w:rPr>
        <w:fldChar w:fldCharType="separate"/>
      </w:r>
      <w:r w:rsidR="001B10B5" w:rsidRPr="001B10B5">
        <w:rPr>
          <w:rFonts w:ascii="Times New Roman" w:hAnsi="Times New Roman" w:cs="Times New Roman"/>
          <w:kern w:val="0"/>
          <w:sz w:val="24"/>
          <w:szCs w:val="24"/>
          <w:vertAlign w:val="superscript"/>
        </w:rPr>
        <w:t>14,15</w:t>
      </w:r>
      <w:r w:rsidRPr="00A01E1E">
        <w:rPr>
          <w:rFonts w:ascii="Times New Roman" w:hAnsi="Times New Roman" w:cs="Times New Roman"/>
          <w:sz w:val="24"/>
          <w:szCs w:val="24"/>
        </w:rPr>
        <w:fldChar w:fldCharType="end"/>
      </w:r>
      <w:r w:rsidRPr="00A01E1E">
        <w:rPr>
          <w:rFonts w:ascii="Times New Roman" w:hAnsi="Times New Roman" w:cs="Times New Roman"/>
          <w:sz w:val="24"/>
          <w:szCs w:val="24"/>
        </w:rPr>
        <w:t xml:space="preserve">, were excluded </w:t>
      </w:r>
      <w:r w:rsidR="0054706E">
        <w:rPr>
          <w:rFonts w:ascii="Times New Roman" w:hAnsi="Times New Roman" w:cs="Times New Roman"/>
          <w:sz w:val="24"/>
          <w:szCs w:val="24"/>
        </w:rPr>
        <w:t xml:space="preserve">from </w:t>
      </w:r>
      <w:r w:rsidR="006A468C">
        <w:rPr>
          <w:rFonts w:ascii="Times New Roman" w:hAnsi="Times New Roman" w:cs="Times New Roman"/>
          <w:sz w:val="24"/>
          <w:szCs w:val="24"/>
        </w:rPr>
        <w:t xml:space="preserve">calibration and </w:t>
      </w:r>
      <w:r w:rsidRPr="00A01E1E">
        <w:rPr>
          <w:rFonts w:ascii="Times New Roman" w:hAnsi="Times New Roman" w:cs="Times New Roman"/>
          <w:sz w:val="24"/>
          <w:szCs w:val="24"/>
        </w:rPr>
        <w:t>analyses.</w:t>
      </w:r>
      <w:r>
        <w:rPr>
          <w:rFonts w:ascii="Times New Roman" w:hAnsi="Times New Roman" w:cs="Times New Roman"/>
          <w:sz w:val="24"/>
          <w:szCs w:val="24"/>
        </w:rPr>
        <w:t xml:space="preserve"> </w:t>
      </w:r>
    </w:p>
    <w:p w14:paraId="1D907FFC" w14:textId="4F47E071" w:rsidR="00B171C9" w:rsidRDefault="00B171C9" w:rsidP="007314EA">
      <w:pPr>
        <w:spacing w:after="0"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Threshold calibration</w:t>
      </w:r>
    </w:p>
    <w:p w14:paraId="3D5E53C1" w14:textId="4FFB69EA" w:rsidR="003B301D" w:rsidRDefault="00373228" w:rsidP="003B301D">
      <w:pPr>
        <w:spacing w:after="0" w:line="480" w:lineRule="auto"/>
        <w:jc w:val="left"/>
        <w:rPr>
          <w:rFonts w:ascii="Times New Roman" w:eastAsiaTheme="minorEastAsia" w:hAnsi="Times New Roman" w:cs="Times New Roman"/>
          <w:sz w:val="24"/>
          <w:szCs w:val="24"/>
        </w:rPr>
      </w:pPr>
      <w:r>
        <w:rPr>
          <w:rFonts w:ascii="Times New Roman" w:hAnsi="Times New Roman" w:cs="Times New Roman"/>
          <w:sz w:val="24"/>
          <w:szCs w:val="24"/>
        </w:rPr>
        <w:t>Calibration of the iSNV detection rule used 169 within-visit pairs at M0 collected from 67 patients</w:t>
      </w:r>
      <w:r w:rsidR="00BD0860">
        <w:rPr>
          <w:rFonts w:ascii="Times New Roman" w:hAnsi="Times New Roman" w:cs="Times New Roman"/>
          <w:sz w:val="24"/>
          <w:szCs w:val="24"/>
        </w:rPr>
        <w:t>, comprising</w:t>
      </w:r>
      <w:r w:rsidR="0086759B">
        <w:rPr>
          <w:rFonts w:ascii="Times New Roman" w:hAnsi="Times New Roman" w:cs="Times New Roman"/>
          <w:sz w:val="24"/>
          <w:szCs w:val="24"/>
        </w:rPr>
        <w:t xml:space="preserve"> </w:t>
      </w:r>
      <w:r>
        <w:rPr>
          <w:rFonts w:ascii="Times New Roman" w:hAnsi="Times New Roman" w:cs="Times New Roman"/>
          <w:sz w:val="24"/>
          <w:szCs w:val="24"/>
        </w:rPr>
        <w:t>three pair types (EM</w:t>
      </w:r>
      <m:oMath>
        <m:r>
          <w:rPr>
            <w:rFonts w:ascii="Cambria Math" w:hAnsi="Cambria Math" w:cs="Times New Roman"/>
            <w:sz w:val="24"/>
            <w:szCs w:val="24"/>
          </w:rPr>
          <m:t>↔</m:t>
        </m:r>
      </m:oMath>
      <w:r>
        <w:rPr>
          <w:rFonts w:ascii="Times New Roman" w:hAnsi="Times New Roman" w:cs="Times New Roman"/>
          <w:sz w:val="24"/>
          <w:szCs w:val="24"/>
        </w:rPr>
        <w:t xml:space="preserve">S0.1; EM </w:t>
      </w:r>
      <m:oMath>
        <m:r>
          <w:rPr>
            <w:rFonts w:ascii="Cambria Math" w:hAnsi="Cambria Math" w:cs="Times New Roman"/>
            <w:sz w:val="24"/>
            <w:szCs w:val="24"/>
          </w:rPr>
          <m:t>↔</m:t>
        </m:r>
      </m:oMath>
      <w:r>
        <w:rPr>
          <w:rFonts w:ascii="Times New Roman" w:hAnsi="Times New Roman" w:cs="Times New Roman"/>
          <w:sz w:val="24"/>
          <w:szCs w:val="24"/>
        </w:rPr>
        <w:t xml:space="preserve"> S0.2; S0.1 </w:t>
      </w:r>
      <m:oMath>
        <m:r>
          <w:rPr>
            <w:rFonts w:ascii="Cambria Math" w:hAnsi="Cambria Math" w:cs="Times New Roman"/>
            <w:sz w:val="24"/>
            <w:szCs w:val="24"/>
          </w:rPr>
          <m:t>↔</m:t>
        </m:r>
      </m:oMath>
      <w:r>
        <w:rPr>
          <w:rFonts w:ascii="Times New Roman" w:hAnsi="Times New Roman" w:cs="Times New Roman"/>
          <w:sz w:val="24"/>
          <w:szCs w:val="24"/>
        </w:rPr>
        <w:t xml:space="preserve"> S0.2). Restricting calibration to M0 anchors the rule’s measurement properties to the diagnostic timepoint, where the bacterial population has not yet been perturbed by treatment; M1 and M2 samples enter only into the application analysis (see below). </w:t>
      </w:r>
      <w:r w:rsidR="00002485">
        <w:rPr>
          <w:rFonts w:ascii="Times New Roman" w:hAnsi="Times New Roman" w:cs="Times New Roman"/>
          <w:sz w:val="24"/>
          <w:szCs w:val="24"/>
        </w:rPr>
        <w:t xml:space="preserve">The iSNV detection rule is defined by three thresholds: minimum DP, minimum </w:t>
      </w:r>
      <w:r w:rsidR="00727CDF">
        <w:rPr>
          <w:rFonts w:ascii="Times New Roman" w:hAnsi="Times New Roman" w:cs="Times New Roman"/>
          <w:sz w:val="24"/>
          <w:szCs w:val="24"/>
        </w:rPr>
        <w:t>AD1,</w:t>
      </w:r>
      <w:r w:rsidR="00002485">
        <w:rPr>
          <w:rFonts w:ascii="Times New Roman" w:hAnsi="Times New Roman" w:cs="Times New Roman"/>
          <w:sz w:val="24"/>
          <w:szCs w:val="24"/>
        </w:rPr>
        <w:t xml:space="preserve"> and minimum </w:t>
      </w:r>
      <w:r w:rsidR="00727CDF">
        <w:rPr>
          <w:rFonts w:ascii="Times New Roman" w:hAnsi="Times New Roman" w:cs="Times New Roman"/>
          <w:sz w:val="24"/>
          <w:szCs w:val="24"/>
        </w:rPr>
        <w:t>MAF</w:t>
      </w:r>
      <w:r w:rsidR="004F2636">
        <w:rPr>
          <w:rFonts w:ascii="Times New Roman" w:hAnsi="Times New Roman" w:cs="Times New Roman"/>
          <w:sz w:val="24"/>
          <w:szCs w:val="24"/>
        </w:rPr>
        <w:t>; with MAF_max fixed at 0.50</w:t>
      </w:r>
      <w:r w:rsidR="00727CDF">
        <w:rPr>
          <w:rFonts w:ascii="Times New Roman" w:hAnsi="Times New Roman" w:cs="Times New Roman"/>
          <w:sz w:val="24"/>
          <w:szCs w:val="24"/>
        </w:rPr>
        <w:t xml:space="preserve">. </w:t>
      </w:r>
      <w:r w:rsidR="00002485">
        <w:rPr>
          <w:rFonts w:ascii="Times New Roman" w:hAnsi="Times New Roman" w:cs="Times New Roman"/>
          <w:sz w:val="24"/>
          <w:szCs w:val="24"/>
        </w:rPr>
        <w:t xml:space="preserve">The rule </w:t>
      </w:r>
      <w:r w:rsidR="004F2636">
        <w:rPr>
          <w:rFonts w:ascii="Times New Roman" w:hAnsi="Times New Roman" w:cs="Times New Roman"/>
          <w:sz w:val="24"/>
          <w:szCs w:val="24"/>
        </w:rPr>
        <w:t>was</w:t>
      </w:r>
      <w:r w:rsidR="00002485">
        <w:rPr>
          <w:rFonts w:ascii="Times New Roman" w:hAnsi="Times New Roman" w:cs="Times New Roman"/>
          <w:sz w:val="24"/>
          <w:szCs w:val="24"/>
        </w:rPr>
        <w:t xml:space="preserve"> calibrated by maximizing within-visit specimen-pair concordance over a pre-specified </w:t>
      </w:r>
      <w:r w:rsidR="006E5DA0" w:rsidRPr="0065070F">
        <w:rPr>
          <w:rFonts w:ascii="Times New Roman" w:hAnsi="Times New Roman" w:cs="Times New Roman"/>
          <w:sz w:val="24"/>
          <w:szCs w:val="24"/>
        </w:rPr>
        <w:t>612</w:t>
      </w:r>
      <w:r w:rsidR="00D22D92">
        <w:rPr>
          <w:rFonts w:ascii="Times New Roman" w:hAnsi="Times New Roman" w:cs="Times New Roman"/>
          <w:sz w:val="24"/>
          <w:szCs w:val="24"/>
        </w:rPr>
        <w:t xml:space="preserve"> cell</w:t>
      </w:r>
      <w:r w:rsidR="00FB7793">
        <w:rPr>
          <w:rFonts w:ascii="Times New Roman" w:hAnsi="Times New Roman" w:cs="Times New Roman"/>
          <w:sz w:val="24"/>
          <w:szCs w:val="24"/>
        </w:rPr>
        <w:t>-</w:t>
      </w:r>
      <w:r w:rsidR="00C64999">
        <w:rPr>
          <w:rFonts w:ascii="Times New Roman" w:eastAsiaTheme="minorEastAsia" w:hAnsi="Times New Roman" w:cs="Times New Roman"/>
          <w:sz w:val="24"/>
          <w:szCs w:val="24"/>
        </w:rPr>
        <w:t>grid (</w:t>
      </w:r>
      <m:oMath>
        <m:r>
          <w:rPr>
            <w:rFonts w:ascii="Cambria Math" w:hAnsi="Cambria Math" w:cs="Times New Roman"/>
            <w:sz w:val="24"/>
            <w:szCs w:val="24"/>
          </w:rPr>
          <m:t xml:space="preserve">DP_min∈ {40,50,...200};  </m:t>
        </m:r>
        <m:r>
          <m:rPr>
            <m:sty m:val="p"/>
          </m:rPr>
          <w:rPr>
            <w:rFonts w:ascii="Cambria Math" w:eastAsiaTheme="minorEastAsia" w:hAnsi="Cambria Math" w:cs="Times New Roman"/>
            <w:sz w:val="24"/>
            <w:szCs w:val="24"/>
          </w:rPr>
          <m:t>AD</m:t>
        </m:r>
        <m:r>
          <m:rPr>
            <m:sty m:val="p"/>
          </m:rPr>
          <w:rPr>
            <w:rFonts w:ascii="Cambria Math" w:eastAsiaTheme="minorEastAsia" w:hAnsi="Cambria Math" w:cs="Times New Roman"/>
            <w:sz w:val="24"/>
            <w:szCs w:val="24"/>
            <w:vertAlign w:val="subscript"/>
          </w:rPr>
          <m:t xml:space="preserve">1_min </m:t>
        </m:r>
        <m:r>
          <w:rPr>
            <w:rFonts w:ascii="Cambria Math" w:hAnsi="Cambria Math" w:cs="Times New Roman"/>
            <w:sz w:val="24"/>
            <w:szCs w:val="24"/>
          </w:rPr>
          <m:t>∈ {3,4,5,6,7,8};  MAF_min ∈ {0.02, 0.03, 0.05, 0.10, 0.15, 0.20}</m:t>
        </m:r>
      </m:oMath>
      <w:r w:rsidR="00060683">
        <w:rPr>
          <w:rFonts w:ascii="Times New Roman" w:eastAsiaTheme="minorEastAsia" w:hAnsi="Times New Roman" w:cs="Times New Roman"/>
          <w:sz w:val="24"/>
          <w:szCs w:val="24"/>
        </w:rPr>
        <w:t>)</w:t>
      </w:r>
      <w:r w:rsidR="00C64999">
        <w:rPr>
          <w:rFonts w:ascii="Times New Roman" w:eastAsiaTheme="minorEastAsia" w:hAnsi="Times New Roman" w:cs="Times New Roman"/>
          <w:sz w:val="24"/>
          <w:szCs w:val="24"/>
        </w:rPr>
        <w:t xml:space="preserve">. For each cell, six </w:t>
      </w:r>
      <w:r w:rsidR="00716083">
        <w:rPr>
          <w:rFonts w:ascii="Times New Roman" w:eastAsiaTheme="minorEastAsia" w:hAnsi="Times New Roman" w:cs="Times New Roman"/>
          <w:sz w:val="24"/>
          <w:szCs w:val="24"/>
        </w:rPr>
        <w:t>summary metrics were computed across pairs</w:t>
      </w:r>
      <w:r w:rsidR="004C03AB">
        <w:rPr>
          <w:rFonts w:ascii="Times New Roman" w:eastAsiaTheme="minorEastAsia" w:hAnsi="Times New Roman" w:cs="Times New Roman"/>
          <w:sz w:val="24"/>
          <w:szCs w:val="24"/>
        </w:rPr>
        <w:t>: (</w:t>
      </w:r>
      <w:proofErr w:type="spellStart"/>
      <w:r w:rsidR="004C03AB">
        <w:rPr>
          <w:rFonts w:ascii="Times New Roman" w:eastAsiaTheme="minorEastAsia" w:hAnsi="Times New Roman" w:cs="Times New Roman"/>
          <w:sz w:val="24"/>
          <w:szCs w:val="24"/>
        </w:rPr>
        <w:t>i</w:t>
      </w:r>
      <w:proofErr w:type="spellEnd"/>
      <w:r w:rsidR="004C03AB">
        <w:rPr>
          <w:rFonts w:ascii="Times New Roman" w:eastAsiaTheme="minorEastAsia" w:hAnsi="Times New Roman" w:cs="Times New Roman"/>
          <w:sz w:val="24"/>
          <w:szCs w:val="24"/>
        </w:rPr>
        <w:t>)</w:t>
      </w:r>
      <w:r w:rsidR="00C64999">
        <w:rPr>
          <w:rFonts w:ascii="Times New Roman" w:eastAsiaTheme="minorEastAsia" w:hAnsi="Times New Roman" w:cs="Times New Roman"/>
          <w:sz w:val="24"/>
          <w:szCs w:val="24"/>
        </w:rPr>
        <w:t xml:space="preserve"> </w:t>
      </w:r>
      <w:r w:rsidR="00FB7793">
        <w:rPr>
          <w:rFonts w:ascii="Times New Roman" w:eastAsiaTheme="minorEastAsia" w:hAnsi="Times New Roman" w:cs="Times New Roman"/>
          <w:sz w:val="24"/>
          <w:szCs w:val="24"/>
        </w:rPr>
        <w:t>the proportion of pairs with both specimens empty</w:t>
      </w:r>
      <w:r w:rsidR="00E34E54">
        <w:rPr>
          <w:rFonts w:ascii="Times New Roman" w:eastAsiaTheme="minorEastAsia" w:hAnsi="Times New Roman" w:cs="Times New Roman"/>
          <w:sz w:val="24"/>
          <w:szCs w:val="24"/>
        </w:rPr>
        <w:t xml:space="preserve"> (</w:t>
      </w:r>
      <w:r w:rsidR="00E34E54" w:rsidRPr="00E34E54">
        <w:rPr>
          <w:rFonts w:ascii="Times New Roman" w:eastAsiaTheme="minorEastAsia" w:hAnsi="Times New Roman" w:cs="Times New Roman"/>
          <w:i/>
          <w:iCs/>
          <w:sz w:val="24"/>
          <w:szCs w:val="24"/>
        </w:rPr>
        <w:t>prop_both0</w:t>
      </w:r>
      <w:r w:rsidR="00E34E54">
        <w:rPr>
          <w:rFonts w:ascii="Times New Roman" w:eastAsiaTheme="minorEastAsia" w:hAnsi="Times New Roman" w:cs="Times New Roman"/>
          <w:sz w:val="24"/>
          <w:szCs w:val="24"/>
        </w:rPr>
        <w:t>)</w:t>
      </w:r>
      <w:r w:rsidR="003C1798">
        <w:rPr>
          <w:rFonts w:ascii="Times New Roman" w:eastAsiaTheme="minorEastAsia" w:hAnsi="Times New Roman" w:cs="Times New Roman"/>
          <w:sz w:val="24"/>
          <w:szCs w:val="24"/>
        </w:rPr>
        <w:t xml:space="preserve">; (ii) </w:t>
      </w:r>
      <w:r w:rsidR="00FC5B79" w:rsidRPr="00277187">
        <w:rPr>
          <w:rFonts w:ascii="Times New Roman" w:eastAsiaTheme="minorEastAsia" w:hAnsi="Times New Roman" w:cs="Times New Roman"/>
          <w:sz w:val="24"/>
          <w:szCs w:val="24"/>
        </w:rPr>
        <w:t>the proportion with any non-empty intersection</w:t>
      </w:r>
      <w:r w:rsidR="003C1798" w:rsidRPr="00277187">
        <w:rPr>
          <w:rFonts w:ascii="Times New Roman" w:eastAsiaTheme="minorEastAsia" w:hAnsi="Times New Roman" w:cs="Times New Roman"/>
          <w:sz w:val="24"/>
          <w:szCs w:val="24"/>
        </w:rPr>
        <w:t>; (iii)</w:t>
      </w:r>
      <w:r w:rsidR="00FC5B79" w:rsidRPr="00277187">
        <w:rPr>
          <w:rFonts w:ascii="Times New Roman" w:eastAsiaTheme="minorEastAsia" w:hAnsi="Times New Roman" w:cs="Times New Roman"/>
          <w:sz w:val="24"/>
          <w:szCs w:val="24"/>
        </w:rPr>
        <w:t xml:space="preserve"> Jaccard </w:t>
      </w:r>
      <w:r w:rsidR="00C53449" w:rsidRPr="00277187">
        <w:rPr>
          <w:rFonts w:ascii="Times New Roman" w:eastAsiaTheme="minorEastAsia" w:hAnsi="Times New Roman" w:cs="Times New Roman"/>
          <w:sz w:val="24"/>
          <w:szCs w:val="24"/>
        </w:rPr>
        <w:t>similarity</w:t>
      </w:r>
      <w:r w:rsidR="00331BAE">
        <w:rPr>
          <w:rFonts w:ascii="Times New Roman" w:eastAsiaTheme="minorEastAsia" w:hAnsi="Times New Roman" w:cs="Times New Roman"/>
          <w:sz w:val="24"/>
          <w:szCs w:val="24"/>
        </w:rPr>
        <w:fldChar w:fldCharType="begin"/>
      </w:r>
      <w:r w:rsidR="00331BAE">
        <w:rPr>
          <w:rFonts w:ascii="Times New Roman" w:eastAsiaTheme="minorEastAsia" w:hAnsi="Times New Roman" w:cs="Times New Roman"/>
          <w:sz w:val="24"/>
          <w:szCs w:val="24"/>
        </w:rPr>
        <w:instrText xml:space="preserve"> ADDIN ZOTERO_ITEM CSL_CITATION {"citationID":"jjR5JRcg","properties":{"unsorted":false,"formattedCitation":"\\super 16\\nosupersub{}","plainCitation":"16","noteIndex":0},"citationItems":[{"id":13310,"uris":["http://zotero.org/users/56896/items/YXS5MV4A"],"itemData":{"id":13310,"type":"article-journal","container-title":"The New Phytologist","ISSN":"0028-646X","issue":"2","page":"37-50","publisher":"[Wiley, New Phytologist Trust]","source":"JSTOR","title":"The Distribution of the Flora in the Alpine Zone","volume":"11","author":[{"family":"Jaccard","given":"Paul"}],"issued":{"date-parts":[["1912"]]}}}],"schema":"https://github.com/citation-style-language/schema/raw/master/csl-citation.json"} </w:instrText>
      </w:r>
      <w:r w:rsidR="00331BAE">
        <w:rPr>
          <w:rFonts w:ascii="Times New Roman" w:eastAsiaTheme="minorEastAsia" w:hAnsi="Times New Roman" w:cs="Times New Roman"/>
          <w:sz w:val="24"/>
          <w:szCs w:val="24"/>
        </w:rPr>
        <w:fldChar w:fldCharType="separate"/>
      </w:r>
      <w:r w:rsidR="00331BAE" w:rsidRPr="00331BAE">
        <w:rPr>
          <w:rFonts w:ascii="Times New Roman" w:hAnsi="Times New Roman" w:cs="Times New Roman"/>
          <w:kern w:val="0"/>
          <w:sz w:val="24"/>
          <w:szCs w:val="24"/>
          <w:vertAlign w:val="superscript"/>
        </w:rPr>
        <w:t>16</w:t>
      </w:r>
      <w:r w:rsidR="00331BAE">
        <w:rPr>
          <w:rFonts w:ascii="Times New Roman" w:eastAsiaTheme="minorEastAsia" w:hAnsi="Times New Roman" w:cs="Times New Roman"/>
          <w:sz w:val="24"/>
          <w:szCs w:val="24"/>
        </w:rPr>
        <w:fldChar w:fldCharType="end"/>
      </w:r>
      <w:r w:rsidR="00FC5B79" w:rsidRPr="00277187">
        <w:rPr>
          <w:rFonts w:ascii="Times New Roman" w:eastAsiaTheme="minorEastAsia" w:hAnsi="Times New Roman" w:cs="Times New Roman"/>
          <w:sz w:val="24"/>
          <w:szCs w:val="24"/>
        </w:rPr>
        <w:t>,</w:t>
      </w:r>
      <w:r w:rsidR="00FC6BEB" w:rsidRPr="0027718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J = </m:t>
        </m:r>
        <w:bookmarkStart w:id="0" w:name="_Hlk229200675"/>
        <m:r>
          <w:rPr>
            <w:rFonts w:ascii="Cambria Math" w:eastAsiaTheme="minorEastAsia" w:hAnsi="Cambria Math" w:cs="Times New Roman"/>
            <w:sz w:val="24"/>
            <w:szCs w:val="24"/>
          </w:rPr>
          <m:t>|A∩B|/|</m:t>
        </m:r>
        <w:bookmarkEnd w:id="0"/>
        <m:r>
          <w:rPr>
            <w:rFonts w:ascii="Cambria Math" w:eastAsiaTheme="minorEastAsia" w:hAnsi="Cambria Math" w:cs="Times New Roman"/>
            <w:sz w:val="24"/>
            <w:szCs w:val="24"/>
          </w:rPr>
          <m:t>A∪B|</m:t>
        </m:r>
      </m:oMath>
      <w:r w:rsidR="00C54D01">
        <w:rPr>
          <w:rFonts w:ascii="Times New Roman" w:eastAsiaTheme="minorEastAsia" w:hAnsi="Times New Roman" w:cs="Times New Roman"/>
          <w:sz w:val="24"/>
          <w:szCs w:val="24"/>
        </w:rPr>
        <w:t>; (iv) the</w:t>
      </w:r>
      <w:r w:rsidR="00BC74B6">
        <w:rPr>
          <w:rFonts w:ascii="Times New Roman" w:eastAsiaTheme="minorEastAsia" w:hAnsi="Times New Roman" w:cs="Times New Roman"/>
          <w:sz w:val="24"/>
          <w:szCs w:val="24"/>
        </w:rPr>
        <w:t xml:space="preserve"> overlap (Szymkiewick-Simpson) coefficient</w:t>
      </w:r>
      <w:r w:rsidR="009F0583">
        <w:rPr>
          <w:rFonts w:ascii="Times New Roman" w:eastAsiaTheme="minorEastAsia" w:hAnsi="Times New Roman" w:cs="Times New Roman"/>
          <w:sz w:val="24"/>
          <w:szCs w:val="24"/>
        </w:rPr>
        <w:fldChar w:fldCharType="begin"/>
      </w:r>
      <w:r w:rsidR="009F0583">
        <w:rPr>
          <w:rFonts w:ascii="Times New Roman" w:eastAsiaTheme="minorEastAsia" w:hAnsi="Times New Roman" w:cs="Times New Roman"/>
          <w:sz w:val="24"/>
          <w:szCs w:val="24"/>
        </w:rPr>
        <w:instrText xml:space="preserve"> ADDIN ZOTERO_ITEM CSL_CITATION {"citationID":"TSM47ZUq","properties":{"unsorted":false,"formattedCitation":"\\super 17\\nosupersub{}","plainCitation":"17","noteIndex":0},"citationItems":[{"id":13412,"uris":["http://zotero.org/users/56896/items/6S8YWC6W"],"itemData":{"id":13412,"type":"article-journal","abstract":"The Volume of text resources have been increasing in digital libraries and internet. Organizing these text documents has become a practical need. For organizing great number of objects into small or minimum number of coherent groups automatically, Clustering technique is used. These documents are widely used for information retrieval and Natural Language processing tasks. Different Clustering algorithms require a metric for quantifying how dissimilar two given documents are. This diﬀerence is often measured by similarity measure such as Euclidean distance, Cosine similarity etc. The similarity measure process in text mining can be used to identify the suitable clustering algorithm for a specific problem. This survey discusses the existing works on text similarity by partitioning them into three significant approaches; String-based, Knowledge based and Corpus-based similarities.","container-title":"Machine Learning and Applications: An International Journal","DOI":"10.5121/mlaij.2016.3103","ISSN":"23940840","issue":"1","journalAbbreviation":"MLAIJ","language":"en","page":"19-28","source":"DOI.org (Crossref)","title":"A Survey on Similarity Measures in Text Mining","volume":"3","author":[{"family":"M.K","given":"Vijaymeena"},{"family":"K","given":"Kavitha"}],"issued":{"date-parts":[["2016",3,30]]}}}],"schema":"https://github.com/citation-style-language/schema/raw/master/csl-citation.json"} </w:instrText>
      </w:r>
      <w:r w:rsidR="009F0583">
        <w:rPr>
          <w:rFonts w:ascii="Times New Roman" w:eastAsiaTheme="minorEastAsia" w:hAnsi="Times New Roman" w:cs="Times New Roman"/>
          <w:sz w:val="24"/>
          <w:szCs w:val="24"/>
        </w:rPr>
        <w:fldChar w:fldCharType="separate"/>
      </w:r>
      <w:r w:rsidR="009F0583" w:rsidRPr="009F0583">
        <w:rPr>
          <w:rFonts w:ascii="Times New Roman" w:hAnsi="Times New Roman" w:cs="Times New Roman"/>
          <w:kern w:val="0"/>
          <w:sz w:val="24"/>
          <w:szCs w:val="24"/>
          <w:vertAlign w:val="superscript"/>
        </w:rPr>
        <w:t>17</w:t>
      </w:r>
      <w:r w:rsidR="009F0583">
        <w:rPr>
          <w:rFonts w:ascii="Times New Roman" w:eastAsiaTheme="minorEastAsia" w:hAnsi="Times New Roman" w:cs="Times New Roman"/>
          <w:sz w:val="24"/>
          <w:szCs w:val="24"/>
        </w:rPr>
        <w:fldChar w:fldCharType="end"/>
      </w:r>
      <w:r w:rsidR="0094099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|A∩B|/min(|A|,|B|</m:t>
        </m:r>
      </m:oMath>
      <w:r w:rsidR="001670AD">
        <w:rPr>
          <w:rFonts w:ascii="Times New Roman" w:eastAsiaTheme="minorEastAsia" w:hAnsi="Times New Roman" w:cs="Times New Roman"/>
          <w:sz w:val="24"/>
          <w:szCs w:val="24"/>
        </w:rPr>
        <w:t>)</w:t>
      </w:r>
      <w:r w:rsidR="00D87C1D">
        <w:rPr>
          <w:rFonts w:ascii="Times New Roman" w:eastAsiaTheme="minorEastAsia" w:hAnsi="Times New Roman" w:cs="Times New Roman"/>
          <w:sz w:val="24"/>
          <w:szCs w:val="24"/>
        </w:rPr>
        <w:t>; (v) the symmetric intersection-confirmation rate, defined as the mean of the two asymmetric per-replicate confirmation rates</w:t>
      </w:r>
      <w:r w:rsidR="0036041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|A∩B|/|A|</m:t>
        </m:r>
      </m:oMath>
      <w:r w:rsidR="0036041C">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|A∩B|/|B|</m:t>
        </m:r>
      </m:oMath>
      <w:r w:rsidR="008E0B73">
        <w:rPr>
          <w:rFonts w:ascii="Times New Roman" w:eastAsiaTheme="minorEastAsia" w:hAnsi="Times New Roman" w:cs="Times New Roman"/>
          <w:sz w:val="24"/>
          <w:szCs w:val="24"/>
        </w:rPr>
        <w:t xml:space="preserve">, extending the asymmetric per-replicate confirmation framework </w:t>
      </w:r>
      <w:r w:rsidR="008E0B73">
        <w:rPr>
          <w:rFonts w:ascii="Times New Roman" w:eastAsiaTheme="minorEastAsia" w:hAnsi="Times New Roman" w:cs="Times New Roman"/>
          <w:sz w:val="24"/>
          <w:szCs w:val="24"/>
        </w:rPr>
        <w:lastRenderedPageBreak/>
        <w:t>introduced for iSNV calibration in viral within-host studies</w:t>
      </w:r>
      <w:r w:rsidR="00752C09">
        <w:rPr>
          <w:rFonts w:ascii="Times New Roman" w:eastAsiaTheme="minorEastAsia" w:hAnsi="Times New Roman" w:cs="Times New Roman"/>
          <w:sz w:val="24"/>
          <w:szCs w:val="24"/>
        </w:rPr>
        <w:fldChar w:fldCharType="begin"/>
      </w:r>
      <w:r w:rsidR="009F0583">
        <w:rPr>
          <w:rFonts w:ascii="Times New Roman" w:eastAsiaTheme="minorEastAsia" w:hAnsi="Times New Roman" w:cs="Times New Roman"/>
          <w:sz w:val="24"/>
          <w:szCs w:val="24"/>
        </w:rPr>
        <w:instrText xml:space="preserve"> ADDIN ZOTERO_ITEM CSL_CITATION {"citationID":"FoXoXSXS","properties":{"unsorted":false,"formattedCitation":"\\super 18\\nosupersub{}","plainCitation":"18","noteIndex":0},"citationItems":[{"id":13409,"uris":["http://zotero.org/users/56896/items/P5MEFSES"],"itemData":{"id":13409,"type":"article-journal","abstract":"With next-generation sequencing technologies, it is now feasible to efficiently sequence patient-derived virus populations at a depth of coverage sufficient to detect rare variants. However, each sequencing platform has characteristic error profiles, and sample collection, target amplification, and library preparation are additional processes whereby errors are introduced and propagated. Many studies account for these errors by using ad hoc quality thresholds and/or previously published statistical algorithms. Despite common usage, the majority of these approaches have not been validated under conditions that characterize many studies of intrahost diversity. Here, we use defined populations of influenza virus to mimic the diversity and titer typically found in patient-derived samples. We identified single-nucleotide variants using two commonly employed variant callers, DeepSNV and LoFreq. We found that the accuracy of these variant callers was lower than expected and exquisitely sensitive to the input titer. Small reductions in specificity had a significant impact on the number of minority variants identified and subsequent measures of diversity. We were able to increase the specificity of DeepSNV to &gt;99.95% by applying an empirically validated set of quality thresholds. When applied to a set of influenza virus samples from a household-based cohort study, these changes resulted in a 10-fold reduction in measurements of viral diversity. We have made our sequence data and analysis code available so that others may improve on our work and use our data set to benchmark their own bioinformatics pipelines. Our work demonstrates that inadequate quality control and validation can lead to significant overestimation of intrahost diversity.IMPORTANCE Advances in sequencing technology have made it feasible to sequence patient-derived viral samples at a level sufficient for detection of rare mutations. These high-throughput, cost-effective methods are revolutionizing the study of within-host viral diversity. However, the techniques are error prone, and the methods commonly used to control for these errors have not been validated under the conditions that characterize patient-derived samples. Here, we show that these conditions affect measurements of viral diversity. We found that the accuracy of previously benchmarked analysis pipelines was greatly reduced under patient-derived conditions. By carefully validating our sequencing analysis using known control samples, we were able to identify biases in our method and to improve our accuracy to acceptable levels. Application of our modified pipeline to a set of influenza virus samples from a cohort study provided a realistic picture of intrahost diversity and suggested the need for rigorous quality control in such studies.","container-title":"Journal of Virology","DOI":"10.1128/jvi.00667-16","issue":"15","page":"6884-6895","publisher":"American Society for Microbiology","source":"journals.asm.org (Atypon)","title":"Measurements of Intrahost Viral Diversity Are Extremely Sensitive to Systematic Errors in Variant Calling","volume":"90","author":[{"family":"McCrone","given":"John T."},{"family":"Lauring","given":"Adam S."}],"issued":{"date-parts":[["2016",7,11]]}}}],"schema":"https://github.com/citation-style-language/schema/raw/master/csl-citation.json"} </w:instrText>
      </w:r>
      <w:r w:rsidR="00752C09">
        <w:rPr>
          <w:rFonts w:ascii="Times New Roman" w:eastAsiaTheme="minorEastAsia" w:hAnsi="Times New Roman" w:cs="Times New Roman"/>
          <w:sz w:val="24"/>
          <w:szCs w:val="24"/>
        </w:rPr>
        <w:fldChar w:fldCharType="separate"/>
      </w:r>
      <w:r w:rsidR="009F0583" w:rsidRPr="009F0583">
        <w:rPr>
          <w:rFonts w:ascii="Times New Roman" w:hAnsi="Times New Roman" w:cs="Times New Roman"/>
          <w:kern w:val="0"/>
          <w:sz w:val="24"/>
          <w:szCs w:val="24"/>
          <w:vertAlign w:val="superscript"/>
        </w:rPr>
        <w:t>18</w:t>
      </w:r>
      <w:r w:rsidR="00752C09">
        <w:rPr>
          <w:rFonts w:ascii="Times New Roman" w:eastAsiaTheme="minorEastAsia" w:hAnsi="Times New Roman" w:cs="Times New Roman"/>
          <w:sz w:val="24"/>
          <w:szCs w:val="24"/>
        </w:rPr>
        <w:fldChar w:fldCharType="end"/>
      </w:r>
      <w:r w:rsidR="0035056F">
        <w:rPr>
          <w:rFonts w:ascii="Times New Roman" w:eastAsiaTheme="minorEastAsia" w:hAnsi="Times New Roman" w:cs="Times New Roman"/>
          <w:sz w:val="24"/>
          <w:szCs w:val="24"/>
        </w:rPr>
        <w:t>; and (vi) the squared Pearson correlation (R</w:t>
      </w:r>
      <w:r w:rsidR="0035056F">
        <w:rPr>
          <w:rFonts w:ascii="Times New Roman" w:eastAsiaTheme="minorEastAsia" w:hAnsi="Times New Roman" w:cs="Times New Roman"/>
          <w:sz w:val="24"/>
          <w:szCs w:val="24"/>
          <w:vertAlign w:val="superscript"/>
        </w:rPr>
        <w:t>2</w:t>
      </w:r>
      <w:r w:rsidR="0035056F">
        <w:rPr>
          <w:rFonts w:ascii="Times New Roman" w:eastAsiaTheme="minorEastAsia" w:hAnsi="Times New Roman" w:cs="Times New Roman"/>
          <w:sz w:val="24"/>
          <w:szCs w:val="24"/>
        </w:rPr>
        <w:t>) of paired MAF</w:t>
      </w:r>
      <w:r w:rsidR="00F54813">
        <w:rPr>
          <w:rFonts w:ascii="Times New Roman" w:eastAsiaTheme="minorEastAsia" w:hAnsi="Times New Roman" w:cs="Times New Roman"/>
          <w:sz w:val="24"/>
          <w:szCs w:val="24"/>
        </w:rPr>
        <w:t>, computed across the union of sites called in either replicate with MAF zero-imputed at sites private to one replicate</w:t>
      </w:r>
      <w:r w:rsidR="002A7AC8">
        <w:rPr>
          <w:rFonts w:ascii="Times New Roman" w:eastAsiaTheme="minorEastAsia" w:hAnsi="Times New Roman" w:cs="Times New Roman"/>
          <w:sz w:val="24"/>
          <w:szCs w:val="24"/>
        </w:rPr>
        <w:t>, and the per-pair R</w:t>
      </w:r>
      <w:r w:rsidR="002A7AC8">
        <w:rPr>
          <w:rFonts w:ascii="Times New Roman" w:eastAsiaTheme="minorEastAsia" w:hAnsi="Times New Roman" w:cs="Times New Roman"/>
          <w:sz w:val="24"/>
          <w:szCs w:val="24"/>
          <w:vertAlign w:val="superscript"/>
        </w:rPr>
        <w:t>2</w:t>
      </w:r>
      <w:r w:rsidR="002A7AC8">
        <w:rPr>
          <w:rFonts w:ascii="Times New Roman" w:eastAsiaTheme="minorEastAsia" w:hAnsi="Times New Roman" w:cs="Times New Roman"/>
          <w:sz w:val="24"/>
          <w:szCs w:val="24"/>
        </w:rPr>
        <w:t xml:space="preserve"> retained only when the intersection </w:t>
      </w:r>
      <w:r w:rsidR="002A7AC8" w:rsidRPr="003B301D">
        <w:rPr>
          <w:rFonts w:ascii="Times New Roman" w:eastAsiaTheme="minorEastAsia" w:hAnsi="Times New Roman" w:cs="Times New Roman"/>
          <w:sz w:val="24"/>
          <w:szCs w:val="24"/>
        </w:rPr>
        <w:t xml:space="preserve">contained ≥ 2 </w:t>
      </w:r>
      <w:r w:rsidR="003B301D" w:rsidRPr="003B301D">
        <w:rPr>
          <w:rFonts w:ascii="Times New Roman" w:eastAsiaTheme="minorEastAsia" w:hAnsi="Times New Roman" w:cs="Times New Roman"/>
          <w:sz w:val="24"/>
          <w:szCs w:val="24"/>
        </w:rPr>
        <w:t xml:space="preserve">shared </w:t>
      </w:r>
      <w:r w:rsidR="002A7AC8" w:rsidRPr="003B301D">
        <w:rPr>
          <w:rFonts w:ascii="Times New Roman" w:eastAsiaTheme="minorEastAsia" w:hAnsi="Times New Roman" w:cs="Times New Roman"/>
          <w:sz w:val="24"/>
          <w:szCs w:val="24"/>
        </w:rPr>
        <w:t>sites</w:t>
      </w:r>
      <w:r w:rsidR="003B301D" w:rsidRPr="003B301D">
        <w:rPr>
          <w:rFonts w:ascii="Times New Roman" w:eastAsiaTheme="minorEastAsia" w:hAnsi="Times New Roman" w:cs="Times New Roman"/>
          <w:sz w:val="24"/>
          <w:szCs w:val="24"/>
        </w:rPr>
        <w:fldChar w:fldCharType="begin"/>
      </w:r>
      <w:r w:rsidR="009F0583">
        <w:rPr>
          <w:rFonts w:ascii="Times New Roman" w:eastAsiaTheme="minorEastAsia" w:hAnsi="Times New Roman" w:cs="Times New Roman"/>
          <w:sz w:val="24"/>
          <w:szCs w:val="24"/>
        </w:rPr>
        <w:instrText xml:space="preserve"> ADDIN ZOTERO_ITEM CSL_CITATION {"citationID":"hYpkZtKJ","properties":{"unsorted":false,"formattedCitation":"\\super 18\\nosupersub{}","plainCitation":"18","noteIndex":0},"citationItems":[{"id":13409,"uris":["http://zotero.org/users/56896/items/P5MEFSES"],"itemData":{"id":13409,"type":"article-journal","abstract":"With next-generation sequencing technologies, it is now feasible to efficiently sequence patient-derived virus populations at a depth of coverage sufficient to detect rare variants. However, each sequencing platform has characteristic error profiles, and sample collection, target amplification, and library preparation are additional processes whereby errors are introduced and propagated. Many studies account for these errors by using ad hoc quality thresholds and/or previously published statistical algorithms. Despite common usage, the majority of these approaches have not been validated under conditions that characterize many studies of intrahost diversity. Here, we use defined populations of influenza virus to mimic the diversity and titer typically found in patient-derived samples. We identified single-nucleotide variants using two commonly employed variant callers, DeepSNV and LoFreq. We found that the accuracy of these variant callers was lower than expected and exquisitely sensitive to the input titer. Small reductions in specificity had a significant impact on the number of minority variants identified and subsequent measures of diversity. We were able to increase the specificity of DeepSNV to &gt;99.95% by applying an empirically validated set of quality thresholds. When applied to a set of influenza virus samples from a household-based cohort study, these changes resulted in a 10-fold reduction in measurements of viral diversity. We have made our sequence data and analysis code available so that others may improve on our work and use our data set to benchmark their own bioinformatics pipelines. Our work demonstrates that inadequate quality control and validation can lead to significant overestimation of intrahost diversity.IMPORTANCE Advances in sequencing technology have made it feasible to sequence patient-derived viral samples at a level sufficient for detection of rare mutations. These high-throughput, cost-effective methods are revolutionizing the study of within-host viral diversity. However, the techniques are error prone, and the methods commonly used to control for these errors have not been validated under the conditions that characterize patient-derived samples. Here, we show that these conditions affect measurements of viral diversity. We found that the accuracy of previously benchmarked analysis pipelines was greatly reduced under patient-derived conditions. By carefully validating our sequencing analysis using known control samples, we were able to identify biases in our method and to improve our accuracy to acceptable levels. Application of our modified pipeline to a set of influenza virus samples from a cohort study provided a realistic picture of intrahost diversity and suggested the need for rigorous quality control in such studies.","container-title":"Journal of Virology","DOI":"10.1128/jvi.00667-16","issue":"15","page":"6884-6895","publisher":"American Society for Microbiology","source":"journals.asm.org (Atypon)","title":"Measurements of Intrahost Viral Diversity Are Extremely Sensitive to Systematic Errors in Variant Calling","volume":"90","author":[{"family":"McCrone","given":"John T."},{"family":"Lauring","given":"Adam S."}],"issued":{"date-parts":[["2016",7,11]]}}}],"schema":"https://github.com/citation-style-language/schema/raw/master/csl-citation.json"} </w:instrText>
      </w:r>
      <w:r w:rsidR="003B301D" w:rsidRPr="003B301D">
        <w:rPr>
          <w:rFonts w:ascii="Times New Roman" w:eastAsiaTheme="minorEastAsia" w:hAnsi="Times New Roman" w:cs="Times New Roman"/>
          <w:sz w:val="24"/>
          <w:szCs w:val="24"/>
        </w:rPr>
        <w:fldChar w:fldCharType="separate"/>
      </w:r>
      <w:r w:rsidR="009F0583" w:rsidRPr="009F0583">
        <w:rPr>
          <w:rFonts w:ascii="Times New Roman" w:hAnsi="Times New Roman" w:cs="Times New Roman"/>
          <w:kern w:val="0"/>
          <w:sz w:val="24"/>
          <w:szCs w:val="24"/>
          <w:vertAlign w:val="superscript"/>
        </w:rPr>
        <w:t>18</w:t>
      </w:r>
      <w:r w:rsidR="003B301D" w:rsidRPr="003B301D">
        <w:rPr>
          <w:rFonts w:ascii="Times New Roman" w:eastAsiaTheme="minorEastAsia" w:hAnsi="Times New Roman" w:cs="Times New Roman"/>
          <w:sz w:val="24"/>
          <w:szCs w:val="24"/>
        </w:rPr>
        <w:fldChar w:fldCharType="end"/>
      </w:r>
      <w:r w:rsidR="003B301D" w:rsidRPr="003B301D">
        <w:rPr>
          <w:rFonts w:ascii="Times New Roman" w:eastAsiaTheme="minorEastAsia" w:hAnsi="Times New Roman" w:cs="Times New Roman"/>
          <w:sz w:val="24"/>
          <w:szCs w:val="24"/>
        </w:rPr>
        <w:t>.</w:t>
      </w:r>
      <w:r w:rsidR="003B301D">
        <w:rPr>
          <w:rFonts w:ascii="Times New Roman" w:eastAsiaTheme="minorEastAsia" w:hAnsi="Times New Roman" w:cs="Times New Roman"/>
          <w:sz w:val="24"/>
          <w:szCs w:val="24"/>
        </w:rPr>
        <w:t xml:space="preserve"> </w:t>
      </w:r>
    </w:p>
    <w:p w14:paraId="3F81B19D" w14:textId="411E2B3F" w:rsidR="003B0F23" w:rsidRDefault="00095FD2" w:rsidP="00A661D7">
      <w:pPr>
        <w:spacing w:after="0" w:line="480" w:lineRule="auto"/>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cell entered a candidate pool only </w:t>
      </w:r>
      <w:r w:rsidR="00EA16F0">
        <w:rPr>
          <w:rFonts w:ascii="Times New Roman" w:eastAsiaTheme="minorEastAsia" w:hAnsi="Times New Roman" w:cs="Times New Roman"/>
          <w:sz w:val="24"/>
          <w:szCs w:val="24"/>
        </w:rPr>
        <w:t>if ≥</w:t>
      </w:r>
      <w:r>
        <w:rPr>
          <w:rFonts w:ascii="Times New Roman" w:eastAsiaTheme="minorEastAsia" w:hAnsi="Times New Roman" w:cs="Times New Roman"/>
          <w:sz w:val="24"/>
          <w:szCs w:val="24"/>
        </w:rPr>
        <w:t xml:space="preserve">5 pairs were evaluable (both specimens non-empty) and </w:t>
      </w:r>
      <w:r w:rsidR="00E34E54" w:rsidRPr="00E34E54">
        <w:rPr>
          <w:rFonts w:ascii="Times New Roman" w:eastAsiaTheme="minorEastAsia" w:hAnsi="Times New Roman" w:cs="Times New Roman"/>
          <w:i/>
          <w:iCs/>
          <w:sz w:val="24"/>
          <w:szCs w:val="24"/>
        </w:rPr>
        <w:t>prop_both</w:t>
      </w:r>
      <w:r w:rsidR="00BA45C2" w:rsidRPr="00E34E54">
        <w:rPr>
          <w:rFonts w:ascii="Times New Roman" w:eastAsiaTheme="minorEastAsia" w:hAnsi="Times New Roman" w:cs="Times New Roman"/>
          <w:i/>
          <w:iCs/>
          <w:sz w:val="24"/>
          <w:szCs w:val="24"/>
        </w:rPr>
        <w:t>0</w:t>
      </w:r>
      <w:r w:rsidR="00BA45C2">
        <w:rPr>
          <w:rFonts w:ascii="Times New Roman" w:eastAsiaTheme="minorEastAsia" w:hAnsi="Times New Roman" w:cs="Times New Roman"/>
          <w:sz w:val="24"/>
          <w:szCs w:val="24"/>
        </w:rPr>
        <w:t xml:space="preserve"> ≤</w:t>
      </w:r>
      <w:r w:rsidR="00C40561">
        <w:rPr>
          <w:rFonts w:ascii="Times New Roman" w:eastAsiaTheme="minorEastAsia" w:hAnsi="Times New Roman" w:cs="Times New Roman"/>
          <w:sz w:val="24"/>
          <w:szCs w:val="24"/>
        </w:rPr>
        <w:t xml:space="preserve"> 0.9</w:t>
      </w:r>
      <w:r w:rsidR="00A74A20">
        <w:rPr>
          <w:rFonts w:ascii="Times New Roman" w:eastAsiaTheme="minorEastAsia" w:hAnsi="Times New Roman" w:cs="Times New Roman"/>
          <w:sz w:val="24"/>
          <w:szCs w:val="24"/>
        </w:rPr>
        <w:t>5</w:t>
      </w:r>
      <w:r w:rsidR="00C40561">
        <w:rPr>
          <w:rFonts w:ascii="Times New Roman" w:eastAsiaTheme="minorEastAsia" w:hAnsi="Times New Roman" w:cs="Times New Roman"/>
          <w:sz w:val="24"/>
          <w:szCs w:val="24"/>
        </w:rPr>
        <w:t xml:space="preserve">. </w:t>
      </w:r>
      <w:r w:rsidR="00BB61FF">
        <w:rPr>
          <w:rFonts w:ascii="Times New Roman" w:eastAsiaTheme="minorEastAsia" w:hAnsi="Times New Roman" w:cs="Times New Roman"/>
          <w:sz w:val="24"/>
          <w:szCs w:val="24"/>
        </w:rPr>
        <w:t>Cell s</w:t>
      </w:r>
      <w:r w:rsidR="00D17006">
        <w:rPr>
          <w:rFonts w:ascii="Times New Roman" w:eastAsiaTheme="minorEastAsia" w:hAnsi="Times New Roman" w:cs="Times New Roman"/>
          <w:sz w:val="24"/>
          <w:szCs w:val="24"/>
        </w:rPr>
        <w:t>e</w:t>
      </w:r>
      <w:r w:rsidR="00784F01">
        <w:rPr>
          <w:rFonts w:ascii="Times New Roman" w:eastAsiaTheme="minorEastAsia" w:hAnsi="Times New Roman" w:cs="Times New Roman"/>
          <w:sz w:val="24"/>
          <w:szCs w:val="24"/>
        </w:rPr>
        <w:t>lection proceeded in two stages. Stage 1 lexicographically</w:t>
      </w:r>
      <w:r w:rsidR="0022540F">
        <w:rPr>
          <w:rFonts w:ascii="Times New Roman" w:eastAsiaTheme="minorEastAsia" w:hAnsi="Times New Roman" w:cs="Times New Roman"/>
          <w:sz w:val="24"/>
          <w:szCs w:val="24"/>
        </w:rPr>
        <w:fldChar w:fldCharType="begin"/>
      </w:r>
      <w:r w:rsidR="009F0583">
        <w:rPr>
          <w:rFonts w:ascii="Times New Roman" w:eastAsiaTheme="minorEastAsia" w:hAnsi="Times New Roman" w:cs="Times New Roman"/>
          <w:sz w:val="24"/>
          <w:szCs w:val="24"/>
        </w:rPr>
        <w:instrText xml:space="preserve"> ADDIN ZOTERO_ITEM CSL_CITATION {"citationID":"uhA33sOJ","properties":{"unsorted":false,"formattedCitation":"\\super 19\\nosupersub{}","plainCitation":"19","noteIndex":0},"citationItems":[{"id":13383,"uris":["http://zotero.org/users/56896/items/HRIY5M7I"],"itemData":{"id":13383,"type":"article-journal","abstract":"Proceeding from a unifying framework, this paper reviews recent developments in lexicographic orders, preferences, utilities, probabilities and decision rules. Several new results are included.","container-title":"Management Science","ISSN":"0025-1909","issue":"11","page":"1442-1471","publisher":"INFORMS","source":"JSTOR","title":"Lexicographic Orders, Utilities and Decision Rules: A Survey","title-short":"Lexicographic Orders, Utilities and Decision Rules","volume":"20","author":[{"family":"Fishburn","given":"Peter C."}],"issued":{"date-parts":[["1974"]]}}}],"schema":"https://github.com/citation-style-language/schema/raw/master/csl-citation.json"} </w:instrText>
      </w:r>
      <w:r w:rsidR="0022540F">
        <w:rPr>
          <w:rFonts w:ascii="Times New Roman" w:eastAsiaTheme="minorEastAsia" w:hAnsi="Times New Roman" w:cs="Times New Roman"/>
          <w:sz w:val="24"/>
          <w:szCs w:val="24"/>
        </w:rPr>
        <w:fldChar w:fldCharType="separate"/>
      </w:r>
      <w:r w:rsidR="009F0583" w:rsidRPr="009F0583">
        <w:rPr>
          <w:rFonts w:ascii="Times New Roman" w:hAnsi="Times New Roman" w:cs="Times New Roman"/>
          <w:kern w:val="0"/>
          <w:sz w:val="24"/>
          <w:szCs w:val="24"/>
          <w:vertAlign w:val="superscript"/>
        </w:rPr>
        <w:t>19</w:t>
      </w:r>
      <w:r w:rsidR="0022540F">
        <w:rPr>
          <w:rFonts w:ascii="Times New Roman" w:eastAsiaTheme="minorEastAsia" w:hAnsi="Times New Roman" w:cs="Times New Roman"/>
          <w:sz w:val="24"/>
          <w:szCs w:val="24"/>
        </w:rPr>
        <w:fldChar w:fldCharType="end"/>
      </w:r>
      <w:r w:rsidR="00784F01">
        <w:rPr>
          <w:rFonts w:ascii="Times New Roman" w:eastAsiaTheme="minorEastAsia" w:hAnsi="Times New Roman" w:cs="Times New Roman"/>
          <w:sz w:val="24"/>
          <w:szCs w:val="24"/>
        </w:rPr>
        <w:t xml:space="preserve"> sorted guard-passing cells, minimizing </w:t>
      </w:r>
      <w:r w:rsidR="00E34E54" w:rsidRPr="00E34E54">
        <w:rPr>
          <w:rFonts w:ascii="Times New Roman" w:eastAsiaTheme="minorEastAsia" w:hAnsi="Times New Roman" w:cs="Times New Roman"/>
          <w:i/>
          <w:iCs/>
          <w:sz w:val="24"/>
          <w:szCs w:val="24"/>
        </w:rPr>
        <w:t>prop_both0</w:t>
      </w:r>
      <w:r w:rsidR="0027738E">
        <w:rPr>
          <w:rFonts w:ascii="Times New Roman" w:eastAsiaTheme="minorEastAsia" w:hAnsi="Times New Roman" w:cs="Times New Roman"/>
          <w:sz w:val="24"/>
          <w:szCs w:val="24"/>
        </w:rPr>
        <w:t xml:space="preserve"> then maximizing the proportion of pairs with any overlap, median Jaccard, median </w:t>
      </w:r>
      <w:r w:rsidR="00C9762A">
        <w:rPr>
          <w:rFonts w:ascii="Times New Roman" w:eastAsiaTheme="minorEastAsia" w:hAnsi="Times New Roman" w:cs="Times New Roman"/>
          <w:sz w:val="24"/>
          <w:szCs w:val="24"/>
        </w:rPr>
        <w:t xml:space="preserve">symmetric </w:t>
      </w:r>
      <w:r w:rsidR="0027738E">
        <w:rPr>
          <w:rFonts w:ascii="Times New Roman" w:eastAsiaTheme="minorEastAsia" w:hAnsi="Times New Roman" w:cs="Times New Roman"/>
          <w:sz w:val="24"/>
          <w:szCs w:val="24"/>
        </w:rPr>
        <w:t>confirmation</w:t>
      </w:r>
      <w:r w:rsidR="00C9762A">
        <w:rPr>
          <w:rFonts w:ascii="Times New Roman" w:eastAsiaTheme="minorEastAsia" w:hAnsi="Times New Roman" w:cs="Times New Roman"/>
          <w:sz w:val="24"/>
          <w:szCs w:val="24"/>
        </w:rPr>
        <w:t xml:space="preserve"> rate</w:t>
      </w:r>
      <w:r w:rsidR="0027738E">
        <w:rPr>
          <w:rFonts w:ascii="Times New Roman" w:eastAsiaTheme="minorEastAsia" w:hAnsi="Times New Roman" w:cs="Times New Roman"/>
          <w:sz w:val="24"/>
          <w:szCs w:val="24"/>
        </w:rPr>
        <w:t>, and median</w:t>
      </w:r>
      <w:r w:rsidR="007D49FE">
        <w:rPr>
          <w:rFonts w:ascii="Times New Roman" w:eastAsiaTheme="minorEastAsia" w:hAnsi="Times New Roman" w:cs="Times New Roman"/>
          <w:sz w:val="24"/>
          <w:szCs w:val="24"/>
        </w:rPr>
        <w:t xml:space="preserve"> </w:t>
      </w:r>
      <w:r w:rsidR="008B17A5">
        <w:rPr>
          <w:rFonts w:ascii="Times New Roman" w:eastAsiaTheme="minorEastAsia" w:hAnsi="Times New Roman" w:cs="Times New Roman"/>
          <w:sz w:val="24"/>
          <w:szCs w:val="24"/>
        </w:rPr>
        <w:t>R</w:t>
      </w:r>
      <w:r w:rsidR="008B17A5">
        <w:rPr>
          <w:rFonts w:ascii="Times New Roman" w:eastAsiaTheme="minorEastAsia" w:hAnsi="Times New Roman" w:cs="Times New Roman"/>
          <w:sz w:val="24"/>
          <w:szCs w:val="24"/>
          <w:vertAlign w:val="superscript"/>
        </w:rPr>
        <w:t>2</w:t>
      </w:r>
      <w:r w:rsidR="007D49FE">
        <w:rPr>
          <w:rFonts w:ascii="Times New Roman" w:eastAsiaTheme="minorEastAsia" w:hAnsi="Times New Roman" w:cs="Times New Roman"/>
          <w:sz w:val="24"/>
          <w:szCs w:val="24"/>
        </w:rPr>
        <w:t>. Stage 2 stabilized the Stage 1 primary by drawing B = 1</w:t>
      </w:r>
      <w:r w:rsidR="00C46FF7">
        <w:rPr>
          <w:rFonts w:ascii="Times New Roman" w:eastAsiaTheme="minorEastAsia" w:hAnsi="Times New Roman" w:cs="Times New Roman"/>
          <w:sz w:val="24"/>
          <w:szCs w:val="24"/>
        </w:rPr>
        <w:t>,</w:t>
      </w:r>
      <w:r w:rsidR="007D49FE">
        <w:rPr>
          <w:rFonts w:ascii="Times New Roman" w:eastAsiaTheme="minorEastAsia" w:hAnsi="Times New Roman" w:cs="Times New Roman"/>
          <w:sz w:val="24"/>
          <w:szCs w:val="24"/>
        </w:rPr>
        <w:t>000 bootstrap resamples of pairs, re-running Stage 1 on each and retaining the modal cell as the calibrated Primary threshold</w:t>
      </w:r>
      <w:r w:rsidR="00722B9B">
        <w:rPr>
          <w:rFonts w:ascii="Times New Roman" w:eastAsiaTheme="minorEastAsia" w:hAnsi="Times New Roman" w:cs="Times New Roman"/>
          <w:sz w:val="24"/>
          <w:szCs w:val="24"/>
        </w:rPr>
        <w:t xml:space="preserve"> (overriding the observed-data primary when discrepant). </w:t>
      </w:r>
      <w:r w:rsidR="001204CD">
        <w:rPr>
          <w:rFonts w:ascii="Times New Roman" w:eastAsiaTheme="minorEastAsia" w:hAnsi="Times New Roman" w:cs="Times New Roman"/>
          <w:sz w:val="24"/>
          <w:szCs w:val="24"/>
        </w:rPr>
        <w:t>Permissive</w:t>
      </w:r>
      <w:r w:rsidR="00722B9B">
        <w:rPr>
          <w:rFonts w:ascii="Times New Roman" w:eastAsiaTheme="minorEastAsia" w:hAnsi="Times New Roman" w:cs="Times New Roman"/>
          <w:sz w:val="24"/>
          <w:szCs w:val="24"/>
        </w:rPr>
        <w:t xml:space="preserve"> (Looser) and restrictive (</w:t>
      </w:r>
      <w:r w:rsidR="00744136">
        <w:rPr>
          <w:rFonts w:ascii="Times New Roman" w:eastAsiaTheme="minorEastAsia" w:hAnsi="Times New Roman" w:cs="Times New Roman"/>
          <w:sz w:val="24"/>
          <w:szCs w:val="24"/>
        </w:rPr>
        <w:t>Tighter</w:t>
      </w:r>
      <w:r w:rsidR="00722B9B">
        <w:rPr>
          <w:rFonts w:ascii="Times New Roman" w:eastAsiaTheme="minorEastAsia" w:hAnsi="Times New Roman" w:cs="Times New Roman"/>
          <w:sz w:val="24"/>
          <w:szCs w:val="24"/>
        </w:rPr>
        <w:t>)</w:t>
      </w:r>
      <w:r w:rsidR="00744136">
        <w:rPr>
          <w:rFonts w:ascii="Times New Roman" w:eastAsiaTheme="minorEastAsia" w:hAnsi="Times New Roman" w:cs="Times New Roman"/>
          <w:sz w:val="24"/>
          <w:szCs w:val="24"/>
        </w:rPr>
        <w:t xml:space="preserve"> bracketing tiers were selected from the </w:t>
      </w:r>
      <w:r w:rsidR="002E5F19">
        <w:rPr>
          <w:rFonts w:ascii="Times New Roman" w:eastAsiaTheme="minorEastAsia" w:hAnsi="Times New Roman" w:cs="Times New Roman"/>
          <w:sz w:val="24"/>
          <w:szCs w:val="24"/>
        </w:rPr>
        <w:t>top K</w:t>
      </w:r>
      <w:r w:rsidR="00744136">
        <w:rPr>
          <w:rFonts w:ascii="Times New Roman" w:eastAsiaTheme="minorEastAsia" w:hAnsi="Times New Roman" w:cs="Times New Roman"/>
          <w:sz w:val="24"/>
          <w:szCs w:val="24"/>
        </w:rPr>
        <w:t xml:space="preserve"> = 10 Stage 1 candidates (excluding Primary) by minim</w:t>
      </w:r>
      <w:r w:rsidR="004E679E">
        <w:rPr>
          <w:rFonts w:ascii="Times New Roman" w:eastAsiaTheme="minorEastAsia" w:hAnsi="Times New Roman" w:cs="Times New Roman"/>
          <w:sz w:val="24"/>
          <w:szCs w:val="24"/>
        </w:rPr>
        <w:t xml:space="preserve">um and maximum stringency on a rank-sum across the three </w:t>
      </w:r>
      <w:r w:rsidR="00586AE1">
        <w:rPr>
          <w:rFonts w:ascii="Times New Roman" w:eastAsiaTheme="minorEastAsia" w:hAnsi="Times New Roman" w:cs="Times New Roman"/>
          <w:sz w:val="24"/>
          <w:szCs w:val="24"/>
        </w:rPr>
        <w:t xml:space="preserve">threshold </w:t>
      </w:r>
      <w:r w:rsidR="004E679E">
        <w:rPr>
          <w:rFonts w:ascii="Times New Roman" w:eastAsiaTheme="minorEastAsia" w:hAnsi="Times New Roman" w:cs="Times New Roman"/>
          <w:sz w:val="24"/>
          <w:szCs w:val="24"/>
        </w:rPr>
        <w:t>axes, defining a three-tier ladder.</w:t>
      </w:r>
      <w:r w:rsidR="00657B96">
        <w:rPr>
          <w:rFonts w:ascii="Times New Roman" w:eastAsiaTheme="minorEastAsia" w:hAnsi="Times New Roman" w:cs="Times New Roman"/>
          <w:sz w:val="24"/>
          <w:szCs w:val="24"/>
        </w:rPr>
        <w:t xml:space="preserve"> </w:t>
      </w:r>
      <w:r w:rsidR="00A661D7">
        <w:rPr>
          <w:rFonts w:ascii="Times New Roman" w:eastAsiaTheme="minorEastAsia" w:hAnsi="Times New Roman" w:cs="Times New Roman"/>
          <w:sz w:val="24"/>
          <w:szCs w:val="24"/>
        </w:rPr>
        <w:t xml:space="preserve">Resamples in which the resampled grid contained insufficient discordant pairs to satisfy the lexicographic guards were excluded from the modal-cell tally without imputation. </w:t>
      </w:r>
    </w:p>
    <w:p w14:paraId="36BC0AB5" w14:textId="03B49364" w:rsidR="000765A8" w:rsidRDefault="000765A8" w:rsidP="000765A8">
      <w:pPr>
        <w:spacing w:after="0"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Threshold validity diagnostics</w:t>
      </w:r>
    </w:p>
    <w:p w14:paraId="737A916C" w14:textId="6A7B3E70" w:rsidR="000765A8" w:rsidRPr="000765A8" w:rsidRDefault="000765A8" w:rsidP="000765A8">
      <w:pPr>
        <w:spacing w:after="0"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sidR="003A36E8">
        <w:rPr>
          <w:rFonts w:ascii="Times New Roman" w:eastAsiaTheme="minorEastAsia" w:hAnsi="Times New Roman" w:cs="Times New Roman"/>
          <w:sz w:val="24"/>
          <w:szCs w:val="24"/>
        </w:rPr>
        <w:t>Construct validity of the calibrated rule was assessed by regressing two replicate-pair concordance outcomes on pair minimum sequencing coverage with patient-clustered standard errors</w:t>
      </w:r>
      <w:r w:rsidR="00E81990">
        <w:rPr>
          <w:rFonts w:ascii="Times New Roman" w:eastAsiaTheme="minorEastAsia" w:hAnsi="Times New Roman" w:cs="Times New Roman"/>
          <w:sz w:val="24"/>
          <w:szCs w:val="24"/>
        </w:rPr>
        <w:t xml:space="preserve">: the indicator that both specimens were silent at the candidate cell (probability of joint absence) and the Jaccard similarity of detected sites among pairs in which both specimens contributed at least one passing call. The interpretive expectation under a calibrated rule </w:t>
      </w:r>
      <w:r w:rsidR="00294934">
        <w:rPr>
          <w:rFonts w:ascii="Times New Roman" w:eastAsiaTheme="minorEastAsia" w:hAnsi="Times New Roman" w:cs="Times New Roman"/>
          <w:sz w:val="24"/>
          <w:szCs w:val="24"/>
        </w:rPr>
        <w:t>w</w:t>
      </w:r>
      <w:r w:rsidR="00E81990">
        <w:rPr>
          <w:rFonts w:ascii="Times New Roman" w:eastAsiaTheme="minorEastAsia" w:hAnsi="Times New Roman" w:cs="Times New Roman"/>
          <w:sz w:val="24"/>
          <w:szCs w:val="24"/>
        </w:rPr>
        <w:t>as a flat both-zero slope</w:t>
      </w:r>
      <w:r w:rsidR="00A912A1">
        <w:rPr>
          <w:rFonts w:ascii="Times New Roman" w:eastAsiaTheme="minorEastAsia" w:hAnsi="Times New Roman" w:cs="Times New Roman"/>
          <w:sz w:val="24"/>
          <w:szCs w:val="24"/>
        </w:rPr>
        <w:t xml:space="preserve"> that indicates</w:t>
      </w:r>
      <w:r w:rsidR="00F41E9F">
        <w:rPr>
          <w:rFonts w:ascii="Times New Roman" w:eastAsiaTheme="minorEastAsia" w:hAnsi="Times New Roman" w:cs="Times New Roman"/>
          <w:sz w:val="24"/>
          <w:szCs w:val="24"/>
        </w:rPr>
        <w:t xml:space="preserve"> that the threshold </w:t>
      </w:r>
      <w:r w:rsidR="00A912A1">
        <w:rPr>
          <w:rFonts w:ascii="Times New Roman" w:eastAsiaTheme="minorEastAsia" w:hAnsi="Times New Roman" w:cs="Times New Roman"/>
          <w:sz w:val="24"/>
          <w:szCs w:val="24"/>
        </w:rPr>
        <w:t>is</w:t>
      </w:r>
      <w:r w:rsidR="00F41E9F">
        <w:rPr>
          <w:rFonts w:ascii="Times New Roman" w:eastAsiaTheme="minorEastAsia" w:hAnsi="Times New Roman" w:cs="Times New Roman"/>
          <w:sz w:val="24"/>
          <w:szCs w:val="24"/>
        </w:rPr>
        <w:t xml:space="preserve"> permissive enough that depth no longer </w:t>
      </w:r>
      <w:r w:rsidR="00F41E9F">
        <w:rPr>
          <w:rFonts w:ascii="Times New Roman" w:eastAsiaTheme="minorEastAsia" w:hAnsi="Times New Roman" w:cs="Times New Roman"/>
          <w:sz w:val="24"/>
          <w:szCs w:val="24"/>
        </w:rPr>
        <w:lastRenderedPageBreak/>
        <w:t>determined whether anything was detected at the patient level, and a</w:t>
      </w:r>
      <w:r w:rsidR="006254B6">
        <w:rPr>
          <w:rFonts w:ascii="Times New Roman" w:eastAsiaTheme="minorEastAsia" w:hAnsi="Times New Roman" w:cs="Times New Roman"/>
          <w:sz w:val="24"/>
          <w:szCs w:val="24"/>
        </w:rPr>
        <w:t xml:space="preserve"> </w:t>
      </w:r>
      <w:r w:rsidR="00ED44F7">
        <w:rPr>
          <w:rFonts w:ascii="Times New Roman" w:eastAsiaTheme="minorEastAsia" w:hAnsi="Times New Roman" w:cs="Times New Roman"/>
          <w:sz w:val="24"/>
          <w:szCs w:val="24"/>
        </w:rPr>
        <w:t>positive Jaccard slope</w:t>
      </w:r>
      <w:r w:rsidR="00ED61CA">
        <w:rPr>
          <w:rFonts w:ascii="Times New Roman" w:eastAsiaTheme="minorEastAsia" w:hAnsi="Times New Roman" w:cs="Times New Roman"/>
          <w:sz w:val="24"/>
          <w:szCs w:val="24"/>
        </w:rPr>
        <w:t xml:space="preserve"> that indicates that depth continued to refine which sites were detected and thereby drove concordance among detected events. Slopes were expressed per +10x depth increment and reported with two-sided p-values from cluster-robust Wald tests at all three tiers. </w:t>
      </w:r>
    </w:p>
    <w:p w14:paraId="460424DB" w14:textId="6FCC3D66" w:rsidR="005A0343" w:rsidRPr="005A0343" w:rsidRDefault="005A0343" w:rsidP="005A0343">
      <w:pPr>
        <w:spacing w:after="0"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Analysis</w:t>
      </w:r>
    </w:p>
    <w:p w14:paraId="6014ABC5" w14:textId="4EB73600" w:rsidR="00D93D26" w:rsidRDefault="00245B2A" w:rsidP="007314EA">
      <w:pPr>
        <w:spacing w:after="0"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w:t>
      </w:r>
      <w:r w:rsidR="00133535">
        <w:rPr>
          <w:rFonts w:ascii="Times New Roman" w:eastAsiaTheme="minorEastAsia" w:hAnsi="Times New Roman" w:cs="Times New Roman"/>
          <w:b/>
          <w:bCs/>
          <w:sz w:val="24"/>
          <w:szCs w:val="24"/>
        </w:rPr>
        <w:t xml:space="preserve">revalence of within-host genetic diversity </w:t>
      </w:r>
    </w:p>
    <w:p w14:paraId="5A5B5189" w14:textId="4E2B6ADA" w:rsidR="00133535" w:rsidRPr="00133535" w:rsidRDefault="00133535" w:rsidP="007314EA">
      <w:pPr>
        <w:spacing w:after="0"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Pr>
          <w:rFonts w:ascii="Times New Roman" w:eastAsiaTheme="minorEastAsia" w:hAnsi="Times New Roman" w:cs="Times New Roman"/>
          <w:sz w:val="24"/>
          <w:szCs w:val="24"/>
        </w:rPr>
        <w:t xml:space="preserve">We applied the primary calibration rule to the per-specimen variant tables of the 97-patient cohort to estimate the prevalence of </w:t>
      </w:r>
      <w:r w:rsidR="008E0F60">
        <w:rPr>
          <w:rFonts w:ascii="Times New Roman" w:eastAsiaTheme="minorEastAsia" w:hAnsi="Times New Roman" w:cs="Times New Roman"/>
          <w:sz w:val="24"/>
          <w:szCs w:val="24"/>
        </w:rPr>
        <w:t xml:space="preserve">detectable </w:t>
      </w:r>
      <w:r>
        <w:rPr>
          <w:rFonts w:ascii="Times New Roman" w:eastAsiaTheme="minorEastAsia" w:hAnsi="Times New Roman" w:cs="Times New Roman"/>
          <w:sz w:val="24"/>
          <w:szCs w:val="24"/>
        </w:rPr>
        <w:t>within-host genetic diversity</w:t>
      </w:r>
      <w:r w:rsidR="008E0F60">
        <w:rPr>
          <w:rFonts w:ascii="Times New Roman" w:eastAsiaTheme="minorEastAsia" w:hAnsi="Times New Roman" w:cs="Times New Roman"/>
          <w:sz w:val="24"/>
          <w:szCs w:val="24"/>
        </w:rPr>
        <w:t xml:space="preserve">, defined as </w:t>
      </w:r>
      <w:r>
        <w:rPr>
          <w:rFonts w:ascii="Times New Roman" w:eastAsiaTheme="minorEastAsia" w:hAnsi="Times New Roman" w:cs="Times New Roman"/>
          <w:sz w:val="24"/>
          <w:szCs w:val="24"/>
        </w:rPr>
        <w:t>any of</w:t>
      </w:r>
      <w:r w:rsidR="004A6C51">
        <w:rPr>
          <w:rFonts w:ascii="Times New Roman" w:eastAsiaTheme="minorEastAsia" w:hAnsi="Times New Roman" w:cs="Times New Roman"/>
          <w:sz w:val="24"/>
          <w:szCs w:val="24"/>
        </w:rPr>
        <w:t xml:space="preserve"> the</w:t>
      </w:r>
      <w:r>
        <w:rPr>
          <w:rFonts w:ascii="Times New Roman" w:eastAsiaTheme="minorEastAsia" w:hAnsi="Times New Roman" w:cs="Times New Roman"/>
          <w:sz w:val="24"/>
          <w:szCs w:val="24"/>
        </w:rPr>
        <w:t xml:space="preserve"> </w:t>
      </w:r>
      <w:r w:rsidR="008E0F60">
        <w:rPr>
          <w:rFonts w:ascii="Times New Roman" w:eastAsiaTheme="minorEastAsia" w:hAnsi="Times New Roman" w:cs="Times New Roman"/>
          <w:sz w:val="24"/>
          <w:szCs w:val="24"/>
        </w:rPr>
        <w:t>sample</w:t>
      </w:r>
      <w:r w:rsidR="004A6C51">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at any timepoint (M0, M1, M2) yielded</w:t>
      </w:r>
      <w:r w:rsidR="003D7BE4">
        <w:rPr>
          <w:rFonts w:ascii="Times New Roman" w:eastAsiaTheme="minorEastAsia" w:hAnsi="Times New Roman" w:cs="Times New Roman"/>
          <w:sz w:val="24"/>
          <w:szCs w:val="24"/>
        </w:rPr>
        <w:t xml:space="preserve"> at least one variant call passing the primary rule. Cohort prevalence was estimated as the number of patients meeting this definition divided by 97, with Wilson 95% confidence intervals. The same calculation was repeated within strata defined by HIV status, sex, </w:t>
      </w:r>
      <w:r w:rsidR="001704F6">
        <w:rPr>
          <w:rFonts w:ascii="Times New Roman" w:eastAsiaTheme="minorEastAsia" w:hAnsi="Times New Roman" w:cs="Times New Roman"/>
          <w:sz w:val="24"/>
          <w:szCs w:val="24"/>
        </w:rPr>
        <w:t xml:space="preserve">and </w:t>
      </w:r>
      <w:r w:rsidR="003D7BE4">
        <w:rPr>
          <w:rFonts w:ascii="Times New Roman" w:eastAsiaTheme="minorEastAsia" w:hAnsi="Times New Roman" w:cs="Times New Roman"/>
          <w:sz w:val="24"/>
          <w:szCs w:val="24"/>
        </w:rPr>
        <w:t>age-band</w:t>
      </w:r>
      <w:r w:rsidR="00C2471B">
        <w:rPr>
          <w:rFonts w:ascii="Times New Roman" w:eastAsiaTheme="minorEastAsia" w:hAnsi="Times New Roman" w:cs="Times New Roman"/>
          <w:sz w:val="24"/>
          <w:szCs w:val="24"/>
        </w:rPr>
        <w:t xml:space="preserve"> (&lt;</w:t>
      </w:r>
      <w:r w:rsidR="002D0D24">
        <w:rPr>
          <w:rFonts w:ascii="Times New Roman" w:eastAsiaTheme="minorEastAsia" w:hAnsi="Times New Roman" w:cs="Times New Roman"/>
          <w:sz w:val="24"/>
          <w:szCs w:val="24"/>
        </w:rPr>
        <w:t>25, ≥</w:t>
      </w:r>
      <w:r w:rsidR="00C2471B">
        <w:rPr>
          <w:rFonts w:ascii="Times New Roman" w:eastAsiaTheme="minorEastAsia" w:hAnsi="Times New Roman" w:cs="Times New Roman"/>
          <w:sz w:val="24"/>
          <w:szCs w:val="24"/>
        </w:rPr>
        <w:t>25</w:t>
      </w:r>
      <w:r w:rsidR="007F185F">
        <w:rPr>
          <w:rFonts w:ascii="Times New Roman" w:eastAsiaTheme="minorEastAsia" w:hAnsi="Times New Roman" w:cs="Times New Roman"/>
          <w:sz w:val="24"/>
          <w:szCs w:val="24"/>
        </w:rPr>
        <w:t xml:space="preserve"> years); strata containing fewer than five </w:t>
      </w:r>
      <w:r w:rsidR="003D0087">
        <w:rPr>
          <w:rFonts w:ascii="Times New Roman" w:eastAsiaTheme="minorEastAsia" w:hAnsi="Times New Roman" w:cs="Times New Roman"/>
          <w:sz w:val="24"/>
          <w:szCs w:val="24"/>
        </w:rPr>
        <w:t xml:space="preserve">patients were reported for completeness but not interpreted. </w:t>
      </w:r>
      <w:r w:rsidR="006C766E">
        <w:rPr>
          <w:rFonts w:ascii="Times New Roman" w:eastAsiaTheme="minorEastAsia" w:hAnsi="Times New Roman" w:cs="Times New Roman"/>
          <w:sz w:val="24"/>
          <w:szCs w:val="24"/>
        </w:rPr>
        <w:t xml:space="preserve">The reported prevalence reflects within-host diversity as detected under the primary rule. We make no claim that this prevalence corresponds to the true biological prevalence of within-host iSNVs, and no adjustment for missed or spurious calls is applied. </w:t>
      </w:r>
    </w:p>
    <w:p w14:paraId="5BEAFBDB" w14:textId="3AC11987" w:rsidR="00A2541F" w:rsidRDefault="00245B2A" w:rsidP="007314EA">
      <w:pPr>
        <w:spacing w:after="0"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Logistic regression of patient-level detection</w:t>
      </w:r>
    </w:p>
    <w:p w14:paraId="4098B911" w14:textId="08691B8B" w:rsidR="00856910" w:rsidRPr="00753D52" w:rsidRDefault="00245B2A" w:rsidP="007314EA">
      <w:pPr>
        <w:spacing w:after="0"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sidR="0026717C">
        <w:rPr>
          <w:rFonts w:ascii="Times New Roman" w:eastAsiaTheme="minorEastAsia" w:hAnsi="Times New Roman" w:cs="Times New Roman"/>
          <w:sz w:val="24"/>
          <w:szCs w:val="24"/>
        </w:rPr>
        <w:t>Patient-level detection of within-host diversity at each tier was regressed on HIV</w:t>
      </w:r>
      <w:r w:rsidR="00E842AD">
        <w:rPr>
          <w:rFonts w:ascii="Times New Roman" w:eastAsiaTheme="minorEastAsia" w:hAnsi="Times New Roman" w:cs="Times New Roman"/>
          <w:sz w:val="24"/>
          <w:szCs w:val="24"/>
        </w:rPr>
        <w:t xml:space="preserve">-positive status, female sex, and age </w:t>
      </w:r>
      <w:r w:rsidR="00E842AD" w:rsidRPr="00451819">
        <w:rPr>
          <w:rFonts w:ascii="Times New Roman" w:eastAsiaTheme="minorEastAsia" w:hAnsi="Times New Roman" w:cs="Times New Roman"/>
          <w:sz w:val="24"/>
          <w:szCs w:val="24"/>
        </w:rPr>
        <w:t>≥</w:t>
      </w:r>
      <w:r w:rsidR="00E842AD">
        <w:rPr>
          <w:rFonts w:ascii="Times New Roman" w:eastAsiaTheme="minorEastAsia" w:hAnsi="Times New Roman" w:cs="Times New Roman"/>
          <w:sz w:val="24"/>
          <w:szCs w:val="24"/>
        </w:rPr>
        <w:t>25 years</w:t>
      </w:r>
      <w:r w:rsidR="00856910">
        <w:rPr>
          <w:rFonts w:ascii="Times New Roman" w:eastAsiaTheme="minorEastAsia" w:hAnsi="Times New Roman" w:cs="Times New Roman"/>
          <w:sz w:val="24"/>
          <w:szCs w:val="24"/>
        </w:rPr>
        <w:t>. Anticipating low events per variable and sparse covariate combinations that elevate separation risk, Firth’s</w:t>
      </w:r>
      <w:r w:rsidR="009D56F3">
        <w:rPr>
          <w:rFonts w:ascii="Times New Roman" w:eastAsiaTheme="minorEastAsia" w:hAnsi="Times New Roman" w:cs="Times New Roman"/>
          <w:sz w:val="24"/>
          <w:szCs w:val="24"/>
        </w:rPr>
        <w:t xml:space="preserve"> penalized likelihood</w:t>
      </w:r>
      <w:r w:rsidR="009D56F3">
        <w:rPr>
          <w:rFonts w:ascii="Times New Roman" w:eastAsiaTheme="minorEastAsia" w:hAnsi="Times New Roman" w:cs="Times New Roman"/>
          <w:sz w:val="24"/>
          <w:szCs w:val="24"/>
        </w:rPr>
        <w:fldChar w:fldCharType="begin"/>
      </w:r>
      <w:r w:rsidR="009F0583">
        <w:rPr>
          <w:rFonts w:ascii="Times New Roman" w:eastAsiaTheme="minorEastAsia" w:hAnsi="Times New Roman" w:cs="Times New Roman"/>
          <w:sz w:val="24"/>
          <w:szCs w:val="24"/>
        </w:rPr>
        <w:instrText xml:space="preserve"> ADDIN ZOTERO_ITEM CSL_CITATION {"citationID":"Hdu9IJVv","properties":{"unsorted":false,"formattedCitation":"\\super 20\\nosupersub{}","plainCitation":"20","noteIndex":0},"citationItems":[{"id":13381,"uris":["http://zotero.org/users/56896/items/XFV7QKFB"],"itemData":{"id":13381,"type":"article-journal","abstract":"It is shown how, in regular parametric problems, the first-order term is removed from the asymptotic bias of maximum likelihood estimates by a suitable modification of the score function. In exponential families with canonical parameterization the effect is to penalize the likelihood by the Jeffreys invariant prior. In binomial logistic models, Poisson log linear models and certain other generalized linear models, the Jeffreys prior penalty function can be imposed in standard regression software using a scheme of iterative adjustments to the data.","container-title":"Biometrika","DOI":"10.1093/biomet/80.1.27","ISSN":"0006-3444","issue":"1","journalAbbreviation":"Biometrika","page":"27-38","source":"Silverchair","title":"Bias reduction of maximum likelihood estimates","volume":"80","author":[{"family":"FIRTH","given":"DAVID"}],"issued":{"date-parts":[["1993",3,1]]}}}],"schema":"https://github.com/citation-style-language/schema/raw/master/csl-citation.json"} </w:instrText>
      </w:r>
      <w:r w:rsidR="009D56F3">
        <w:rPr>
          <w:rFonts w:ascii="Times New Roman" w:eastAsiaTheme="minorEastAsia" w:hAnsi="Times New Roman" w:cs="Times New Roman"/>
          <w:sz w:val="24"/>
          <w:szCs w:val="24"/>
        </w:rPr>
        <w:fldChar w:fldCharType="separate"/>
      </w:r>
      <w:r w:rsidR="009F0583" w:rsidRPr="009F0583">
        <w:rPr>
          <w:rFonts w:ascii="Times New Roman" w:hAnsi="Times New Roman" w:cs="Times New Roman"/>
          <w:kern w:val="0"/>
          <w:sz w:val="24"/>
          <w:szCs w:val="24"/>
          <w:vertAlign w:val="superscript"/>
        </w:rPr>
        <w:t>20</w:t>
      </w:r>
      <w:r w:rsidR="009D56F3">
        <w:rPr>
          <w:rFonts w:ascii="Times New Roman" w:eastAsiaTheme="minorEastAsia" w:hAnsi="Times New Roman" w:cs="Times New Roman"/>
          <w:sz w:val="24"/>
          <w:szCs w:val="24"/>
        </w:rPr>
        <w:fldChar w:fldCharType="end"/>
      </w:r>
      <w:r w:rsidR="00753D52">
        <w:rPr>
          <w:rFonts w:ascii="Times New Roman" w:eastAsiaTheme="minorEastAsia" w:hAnsi="Times New Roman" w:cs="Times New Roman"/>
          <w:sz w:val="24"/>
          <w:szCs w:val="24"/>
        </w:rPr>
        <w:t xml:space="preserve"> was specified a priori as implemented in the R package </w:t>
      </w:r>
      <w:r w:rsidR="00753D52">
        <w:rPr>
          <w:rFonts w:ascii="Times New Roman" w:eastAsiaTheme="minorEastAsia" w:hAnsi="Times New Roman" w:cs="Times New Roman"/>
          <w:i/>
          <w:iCs/>
          <w:sz w:val="24"/>
          <w:szCs w:val="24"/>
        </w:rPr>
        <w:t>logistf</w:t>
      </w:r>
      <w:r w:rsidR="00753D52">
        <w:rPr>
          <w:rFonts w:ascii="Times New Roman" w:eastAsiaTheme="minorEastAsia" w:hAnsi="Times New Roman" w:cs="Times New Roman"/>
          <w:sz w:val="24"/>
          <w:szCs w:val="24"/>
        </w:rPr>
        <w:t xml:space="preserve"> for small sample bias control. Penalized profile likelihood 95% confidence intervals are reported as ranges, with standard maximum-likelihood estimates </w:t>
      </w:r>
      <w:r w:rsidR="00753D52">
        <w:rPr>
          <w:rFonts w:ascii="Times New Roman" w:eastAsiaTheme="minorEastAsia" w:hAnsi="Times New Roman" w:cs="Times New Roman"/>
          <w:sz w:val="24"/>
          <w:szCs w:val="24"/>
        </w:rPr>
        <w:lastRenderedPageBreak/>
        <w:t xml:space="preserve">retained alongside as a transparency check. Confidence intervals are interpreted descriptively as the range of effect sizes compatible with the data and are not used as significance tests. </w:t>
      </w:r>
    </w:p>
    <w:p w14:paraId="596ABCB7" w14:textId="6C3996BF" w:rsidR="00041DDD" w:rsidRDefault="00245B2A" w:rsidP="007314EA">
      <w:pPr>
        <w:spacing w:after="0"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L</w:t>
      </w:r>
      <w:r w:rsidR="00041DDD">
        <w:rPr>
          <w:rFonts w:ascii="Times New Roman" w:eastAsiaTheme="minorEastAsia" w:hAnsi="Times New Roman" w:cs="Times New Roman"/>
          <w:b/>
          <w:bCs/>
          <w:sz w:val="24"/>
          <w:szCs w:val="24"/>
        </w:rPr>
        <w:t>ongitudinal iSNV persistence</w:t>
      </w:r>
    </w:p>
    <w:p w14:paraId="58DE0B7D" w14:textId="16CEED7E" w:rsidR="0070386D" w:rsidRPr="00D544AB" w:rsidRDefault="00041DDD" w:rsidP="007314EA">
      <w:pPr>
        <w:spacing w:after="0"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sidR="00AE2D96">
        <w:rPr>
          <w:rFonts w:ascii="Times New Roman" w:eastAsiaTheme="minorEastAsia" w:hAnsi="Times New Roman" w:cs="Times New Roman"/>
          <w:sz w:val="24"/>
          <w:szCs w:val="24"/>
        </w:rPr>
        <w:t>We restricted the persistence analysis to patients with at least one post-baseline specimen (M1 and/or M2). An iSNV was classified as persistent if the same variant (</w:t>
      </w:r>
      <w:r w:rsidR="00205E70">
        <w:rPr>
          <w:rFonts w:ascii="Times New Roman" w:eastAsiaTheme="minorEastAsia" w:hAnsi="Times New Roman" w:cs="Times New Roman"/>
          <w:sz w:val="24"/>
          <w:szCs w:val="24"/>
        </w:rPr>
        <w:t>position, reference, alternate</w:t>
      </w:r>
      <w:r w:rsidR="0040151E">
        <w:rPr>
          <w:rFonts w:ascii="Times New Roman" w:eastAsiaTheme="minorEastAsia" w:hAnsi="Times New Roman" w:cs="Times New Roman"/>
          <w:sz w:val="24"/>
          <w:szCs w:val="24"/>
        </w:rPr>
        <w:t xml:space="preserve">) was detected under the primary rule in at least one M0 specimen and in at least one M1 or M2 specimen from the sample patient. The persistence rate was the proportion of </w:t>
      </w:r>
      <w:r w:rsidR="00850159">
        <w:rPr>
          <w:rFonts w:ascii="Times New Roman" w:eastAsiaTheme="minorEastAsia" w:hAnsi="Times New Roman" w:cs="Times New Roman"/>
          <w:sz w:val="24"/>
          <w:szCs w:val="24"/>
        </w:rPr>
        <w:t>eligible</w:t>
      </w:r>
      <w:r w:rsidR="0040151E">
        <w:rPr>
          <w:rFonts w:ascii="Times New Roman" w:eastAsiaTheme="minorEastAsia" w:hAnsi="Times New Roman" w:cs="Times New Roman"/>
          <w:sz w:val="24"/>
          <w:szCs w:val="24"/>
        </w:rPr>
        <w:t xml:space="preserve"> patients carrying at least one persistent iSNV. Persistence was reported overall and stratified</w:t>
      </w:r>
      <w:r w:rsidR="00DF5759">
        <w:rPr>
          <w:rFonts w:ascii="Times New Roman" w:eastAsiaTheme="minorEastAsia" w:hAnsi="Times New Roman" w:cs="Times New Roman"/>
          <w:sz w:val="24"/>
          <w:szCs w:val="24"/>
        </w:rPr>
        <w:t xml:space="preserve"> by HIV status, as descriptive frequencies without formal interval estimation. </w:t>
      </w:r>
      <w:r w:rsidR="00A27244">
        <w:rPr>
          <w:rFonts w:ascii="Times New Roman" w:eastAsiaTheme="minorEastAsia" w:hAnsi="Times New Roman" w:cs="Times New Roman"/>
          <w:sz w:val="24"/>
          <w:szCs w:val="24"/>
        </w:rPr>
        <w:t>Persistence under the Looser and Tighter tiers, MAF-stratified persistence, and per-trajectory categories (M0 + M1, M0 + M2, M0+</w:t>
      </w:r>
      <w:r w:rsidR="00D544AB">
        <w:rPr>
          <w:rFonts w:ascii="Times New Roman" w:eastAsiaTheme="minorEastAsia" w:hAnsi="Times New Roman" w:cs="Times New Roman"/>
          <w:sz w:val="24"/>
          <w:szCs w:val="24"/>
        </w:rPr>
        <w:t xml:space="preserve">M1+M2) are </w:t>
      </w:r>
      <w:r w:rsidR="00D84C2E">
        <w:rPr>
          <w:rFonts w:ascii="Times New Roman" w:eastAsiaTheme="minorEastAsia" w:hAnsi="Times New Roman" w:cs="Times New Roman"/>
          <w:sz w:val="24"/>
          <w:szCs w:val="24"/>
        </w:rPr>
        <w:t>also reported</w:t>
      </w:r>
      <w:r w:rsidR="00D544AB">
        <w:rPr>
          <w:rFonts w:ascii="Times New Roman" w:eastAsiaTheme="minorEastAsia" w:hAnsi="Times New Roman" w:cs="Times New Roman"/>
          <w:sz w:val="24"/>
          <w:szCs w:val="24"/>
        </w:rPr>
        <w:t xml:space="preserve">. </w:t>
      </w:r>
    </w:p>
    <w:p w14:paraId="40441684" w14:textId="183B2F7A" w:rsidR="00097717" w:rsidRDefault="00097717" w:rsidP="007314EA">
      <w:pPr>
        <w:spacing w:after="0"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Software and Reproducibility</w:t>
      </w:r>
    </w:p>
    <w:p w14:paraId="59B0E492" w14:textId="1C2F5584" w:rsidR="00E24C2E" w:rsidRDefault="00097717" w:rsidP="007314EA">
      <w:pPr>
        <w:spacing w:after="0"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All analyses were conducted in R version 4.5.1 (R Core Team, 2024) </w:t>
      </w:r>
      <w:r w:rsidR="004E75C6">
        <w:rPr>
          <w:rFonts w:ascii="Times New Roman" w:eastAsiaTheme="minorEastAsia" w:hAnsi="Times New Roman" w:cs="Times New Roman"/>
          <w:sz w:val="24"/>
          <w:szCs w:val="24"/>
        </w:rPr>
        <w:t xml:space="preserve">with the </w:t>
      </w:r>
      <w:r w:rsidR="004E75C6" w:rsidRPr="00E40AC2">
        <w:rPr>
          <w:rFonts w:ascii="Times New Roman" w:eastAsiaTheme="minorEastAsia" w:hAnsi="Times New Roman" w:cs="Times New Roman"/>
          <w:i/>
          <w:iCs/>
          <w:sz w:val="24"/>
          <w:szCs w:val="24"/>
        </w:rPr>
        <w:t>tidyverse</w:t>
      </w:r>
      <w:r w:rsidR="004E75C6">
        <w:rPr>
          <w:rFonts w:ascii="Times New Roman" w:eastAsiaTheme="minorEastAsia" w:hAnsi="Times New Roman" w:cs="Times New Roman"/>
          <w:i/>
          <w:iCs/>
          <w:sz w:val="24"/>
          <w:szCs w:val="24"/>
        </w:rPr>
        <w:fldChar w:fldCharType="begin"/>
      </w:r>
      <w:r w:rsidR="009F0583">
        <w:rPr>
          <w:rFonts w:ascii="Times New Roman" w:eastAsiaTheme="minorEastAsia" w:hAnsi="Times New Roman" w:cs="Times New Roman"/>
          <w:i/>
          <w:iCs/>
          <w:sz w:val="24"/>
          <w:szCs w:val="24"/>
        </w:rPr>
        <w:instrText xml:space="preserve"> ADDIN ZOTERO_ITEM CSL_CITATION {"citationID":"Zwctu775","properties":{"unsorted":false,"formattedCitation":"\\super 21\\nosupersub{}","plainCitation":"21","noteIndex":0},"citationItems":[{"id":13346,"uris":["http://zotero.org/users/56896/items/KJNXXWQ6"],"itemData":{"id":13346,"type":"article-journal","abstract":"Wickham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4E75C6">
        <w:rPr>
          <w:rFonts w:ascii="Times New Roman" w:eastAsiaTheme="minorEastAsia" w:hAnsi="Times New Roman" w:cs="Times New Roman"/>
          <w:i/>
          <w:iCs/>
          <w:sz w:val="24"/>
          <w:szCs w:val="24"/>
        </w:rPr>
        <w:fldChar w:fldCharType="separate"/>
      </w:r>
      <w:r w:rsidR="009F0583" w:rsidRPr="009F0583">
        <w:rPr>
          <w:rFonts w:ascii="Times New Roman" w:hAnsi="Times New Roman" w:cs="Times New Roman"/>
          <w:kern w:val="0"/>
          <w:sz w:val="24"/>
          <w:szCs w:val="24"/>
          <w:vertAlign w:val="superscript"/>
        </w:rPr>
        <w:t>21</w:t>
      </w:r>
      <w:r w:rsidR="004E75C6">
        <w:rPr>
          <w:rFonts w:ascii="Times New Roman" w:eastAsiaTheme="minorEastAsia" w:hAnsi="Times New Roman" w:cs="Times New Roman"/>
          <w:i/>
          <w:iCs/>
          <w:sz w:val="24"/>
          <w:szCs w:val="24"/>
        </w:rPr>
        <w:fldChar w:fldCharType="end"/>
      </w:r>
      <w:r w:rsidR="004E75C6">
        <w:rPr>
          <w:rFonts w:ascii="Times New Roman" w:eastAsiaTheme="minorEastAsia" w:hAnsi="Times New Roman" w:cs="Times New Roman"/>
          <w:sz w:val="24"/>
          <w:szCs w:val="24"/>
        </w:rPr>
        <w:t xml:space="preserve"> for data manipulation and figures.</w:t>
      </w:r>
      <w:r w:rsidR="0052417A">
        <w:rPr>
          <w:rFonts w:ascii="Times New Roman" w:eastAsiaTheme="minorEastAsia" w:hAnsi="Times New Roman" w:cs="Times New Roman"/>
          <w:sz w:val="24"/>
          <w:szCs w:val="24"/>
        </w:rPr>
        <w:t xml:space="preserve"> </w:t>
      </w:r>
      <w:r w:rsidR="0034788A">
        <w:rPr>
          <w:rFonts w:ascii="Times New Roman" w:eastAsiaTheme="minorEastAsia" w:hAnsi="Times New Roman" w:cs="Times New Roman"/>
          <w:sz w:val="24"/>
          <w:szCs w:val="24"/>
        </w:rPr>
        <w:t xml:space="preserve">Bootstrap resampling used a fixed random seed (20260428). </w:t>
      </w:r>
      <w:r w:rsidR="00C77F69">
        <w:rPr>
          <w:rFonts w:ascii="Times New Roman" w:eastAsiaTheme="minorEastAsia" w:hAnsi="Times New Roman" w:cs="Times New Roman"/>
          <w:sz w:val="24"/>
          <w:szCs w:val="24"/>
        </w:rPr>
        <w:t>C</w:t>
      </w:r>
      <w:r w:rsidR="0039167D">
        <w:rPr>
          <w:rFonts w:ascii="Times New Roman" w:eastAsiaTheme="minorEastAsia" w:hAnsi="Times New Roman" w:cs="Times New Roman"/>
          <w:sz w:val="24"/>
          <w:szCs w:val="24"/>
        </w:rPr>
        <w:t>ode</w:t>
      </w:r>
      <w:r w:rsidR="00C77F69">
        <w:rPr>
          <w:rFonts w:ascii="Times New Roman" w:eastAsiaTheme="minorEastAsia" w:hAnsi="Times New Roman" w:cs="Times New Roman"/>
          <w:sz w:val="24"/>
          <w:szCs w:val="24"/>
        </w:rPr>
        <w:t xml:space="preserve"> and derived data are available at</w:t>
      </w:r>
      <w:r w:rsidR="006E721B">
        <w:rPr>
          <w:rFonts w:ascii="Times New Roman" w:eastAsiaTheme="minorEastAsia" w:hAnsi="Times New Roman" w:cs="Times New Roman"/>
          <w:sz w:val="24"/>
          <w:szCs w:val="24"/>
        </w:rPr>
        <w:t xml:space="preserve"> </w:t>
      </w:r>
      <w:hyperlink r:id="rId6" w:history="1">
        <w:r w:rsidR="00186827" w:rsidRPr="00DF4D14">
          <w:rPr>
            <w:rStyle w:val="Hyperlink"/>
            <w:rFonts w:ascii="Times New Roman" w:eastAsiaTheme="minorEastAsia" w:hAnsi="Times New Roman" w:cs="Times New Roman"/>
            <w:sz w:val="24"/>
            <w:szCs w:val="24"/>
          </w:rPr>
          <w:t>https://github.com/mnseraphin/Mtb_isnv_detection_calibration</w:t>
        </w:r>
      </w:hyperlink>
      <w:r w:rsidR="006E721B">
        <w:rPr>
          <w:rFonts w:ascii="Times New Roman" w:eastAsiaTheme="minorEastAsia" w:hAnsi="Times New Roman" w:cs="Times New Roman"/>
          <w:sz w:val="24"/>
          <w:szCs w:val="24"/>
        </w:rPr>
        <w:t>; raw sequencing reads are deposited under [</w:t>
      </w:r>
      <w:r w:rsidR="006E721B" w:rsidRPr="006E721B">
        <w:rPr>
          <w:rFonts w:ascii="Times New Roman" w:eastAsiaTheme="minorEastAsia" w:hAnsi="Times New Roman" w:cs="Times New Roman"/>
          <w:sz w:val="24"/>
          <w:szCs w:val="24"/>
          <w:highlight w:val="yellow"/>
        </w:rPr>
        <w:t>SRA/ENA ACCESSION</w:t>
      </w:r>
      <w:r w:rsidR="006E721B">
        <w:rPr>
          <w:rFonts w:ascii="Times New Roman" w:eastAsiaTheme="minorEastAsia" w:hAnsi="Times New Roman" w:cs="Times New Roman"/>
          <w:sz w:val="24"/>
          <w:szCs w:val="24"/>
        </w:rPr>
        <w:t>]</w:t>
      </w:r>
    </w:p>
    <w:p w14:paraId="50893C83" w14:textId="0657CD4B" w:rsidR="00010F0B" w:rsidRDefault="00010F0B" w:rsidP="00F121C1">
      <w:pPr>
        <w:spacing w:after="0"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Results</w:t>
      </w:r>
    </w:p>
    <w:p w14:paraId="5153EEC1" w14:textId="22BAC576" w:rsidR="00057E90" w:rsidRDefault="00057E90" w:rsidP="00F121C1">
      <w:pPr>
        <w:spacing w:after="0"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Cohort</w:t>
      </w:r>
    </w:p>
    <w:p w14:paraId="1BB57C29" w14:textId="78A63A97" w:rsidR="00AC0174" w:rsidRDefault="0028529C" w:rsidP="008C7170">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sidR="00057E90">
        <w:rPr>
          <w:rFonts w:ascii="Times New Roman" w:eastAsiaTheme="minorEastAsia" w:hAnsi="Times New Roman" w:cs="Times New Roman"/>
          <w:sz w:val="24"/>
          <w:szCs w:val="24"/>
        </w:rPr>
        <w:t>The analytic c</w:t>
      </w:r>
      <w:r>
        <w:rPr>
          <w:rFonts w:ascii="Times New Roman" w:eastAsiaTheme="minorEastAsia" w:hAnsi="Times New Roman" w:cs="Times New Roman"/>
          <w:sz w:val="24"/>
          <w:szCs w:val="24"/>
        </w:rPr>
        <w:t>ohort</w:t>
      </w:r>
      <w:r w:rsidR="00057E90">
        <w:rPr>
          <w:rFonts w:ascii="Times New Roman" w:eastAsiaTheme="minorEastAsia" w:hAnsi="Times New Roman" w:cs="Times New Roman"/>
          <w:sz w:val="24"/>
          <w:szCs w:val="24"/>
        </w:rPr>
        <w:t xml:space="preserve"> comprised 97 pre-treatment</w:t>
      </w:r>
      <w:r w:rsidR="00D327EB">
        <w:rPr>
          <w:rFonts w:ascii="Times New Roman" w:eastAsiaTheme="minorEastAsia" w:hAnsi="Times New Roman" w:cs="Times New Roman"/>
          <w:sz w:val="24"/>
          <w:szCs w:val="24"/>
        </w:rPr>
        <w:t xml:space="preserve"> pulmonary </w:t>
      </w:r>
      <w:r w:rsidR="000E65B9">
        <w:rPr>
          <w:rFonts w:ascii="Times New Roman" w:eastAsiaTheme="minorEastAsia" w:hAnsi="Times New Roman" w:cs="Times New Roman"/>
          <w:sz w:val="24"/>
          <w:szCs w:val="24"/>
        </w:rPr>
        <w:t>TB</w:t>
      </w:r>
      <w:r w:rsidR="00D327EB">
        <w:rPr>
          <w:rFonts w:ascii="Times New Roman" w:eastAsiaTheme="minorEastAsia" w:hAnsi="Times New Roman" w:cs="Times New Roman"/>
          <w:sz w:val="24"/>
          <w:szCs w:val="24"/>
        </w:rPr>
        <w:t xml:space="preserve"> patients contributing 282 cultured sputum specimens that passed sequencing quality thresholds</w:t>
      </w:r>
      <w:r w:rsidR="00D91652">
        <w:rPr>
          <w:rFonts w:ascii="Times New Roman" w:eastAsiaTheme="minorEastAsia" w:hAnsi="Times New Roman" w:cs="Times New Roman"/>
          <w:sz w:val="24"/>
          <w:szCs w:val="24"/>
        </w:rPr>
        <w:t xml:space="preserve"> (median sample-level depth 274x, IQR 211-326). The visit composition was 213 samples at month 0 (M0; baseline), 52 at month 1 (M1), and 17 at month 2 (M2); 95 of 97 patients contributed an M0 specimen, while two patients lacked an M0 sample and entered the analytic frame through post-baseline </w:t>
      </w:r>
      <w:r w:rsidR="00D91652">
        <w:rPr>
          <w:rFonts w:ascii="Times New Roman" w:eastAsiaTheme="minorEastAsia" w:hAnsi="Times New Roman" w:cs="Times New Roman"/>
          <w:sz w:val="24"/>
          <w:szCs w:val="24"/>
        </w:rPr>
        <w:lastRenderedPageBreak/>
        <w:t xml:space="preserve">specimens only. </w:t>
      </w:r>
      <w:r w:rsidR="00ED6F5E">
        <w:rPr>
          <w:rFonts w:ascii="Times New Roman" w:eastAsiaTheme="minorEastAsia" w:hAnsi="Times New Roman" w:cs="Times New Roman"/>
          <w:sz w:val="24"/>
          <w:szCs w:val="24"/>
        </w:rPr>
        <w:t>The cohort was 26.8% female (26/97), median age 40 years (IQR 30</w:t>
      </w:r>
      <w:r w:rsidR="003468AB">
        <w:rPr>
          <w:rFonts w:ascii="Times New Roman" w:eastAsiaTheme="minorEastAsia" w:hAnsi="Times New Roman" w:cs="Times New Roman"/>
          <w:sz w:val="24"/>
          <w:szCs w:val="24"/>
        </w:rPr>
        <w:t xml:space="preserve"> - </w:t>
      </w:r>
      <w:r w:rsidR="00ED6F5E">
        <w:rPr>
          <w:rFonts w:ascii="Times New Roman" w:eastAsiaTheme="minorEastAsia" w:hAnsi="Times New Roman" w:cs="Times New Roman"/>
          <w:sz w:val="24"/>
          <w:szCs w:val="24"/>
        </w:rPr>
        <w:t>52), with 12 (12.4%) HIV-positive patients and a lineage distribution dominated by L4 (76/</w:t>
      </w:r>
      <w:r w:rsidR="0044142C">
        <w:rPr>
          <w:rFonts w:ascii="Times New Roman" w:eastAsiaTheme="minorEastAsia" w:hAnsi="Times New Roman" w:cs="Times New Roman"/>
          <w:sz w:val="24"/>
          <w:szCs w:val="24"/>
        </w:rPr>
        <w:t>97, 78.4%) with smaller L1</w:t>
      </w:r>
      <w:r w:rsidR="00AC0174">
        <w:rPr>
          <w:rFonts w:ascii="Times New Roman" w:eastAsiaTheme="minorEastAsia" w:hAnsi="Times New Roman" w:cs="Times New Roman"/>
          <w:sz w:val="24"/>
          <w:szCs w:val="24"/>
        </w:rPr>
        <w:t xml:space="preserve"> (2.1%)</w:t>
      </w:r>
      <w:r w:rsidR="0044142C">
        <w:rPr>
          <w:rFonts w:ascii="Times New Roman" w:eastAsiaTheme="minorEastAsia" w:hAnsi="Times New Roman" w:cs="Times New Roman"/>
          <w:sz w:val="24"/>
          <w:szCs w:val="24"/>
        </w:rPr>
        <w:t>, L5</w:t>
      </w:r>
      <w:r w:rsidR="00AC0174">
        <w:rPr>
          <w:rFonts w:ascii="Times New Roman" w:eastAsiaTheme="minorEastAsia" w:hAnsi="Times New Roman" w:cs="Times New Roman"/>
          <w:sz w:val="24"/>
          <w:szCs w:val="24"/>
        </w:rPr>
        <w:t xml:space="preserve"> (7.2%)</w:t>
      </w:r>
      <w:r w:rsidR="0044142C">
        <w:rPr>
          <w:rFonts w:ascii="Times New Roman" w:eastAsiaTheme="minorEastAsia" w:hAnsi="Times New Roman" w:cs="Times New Roman"/>
          <w:sz w:val="24"/>
          <w:szCs w:val="24"/>
        </w:rPr>
        <w:t>, and L6</w:t>
      </w:r>
      <w:r w:rsidR="00AC0174">
        <w:rPr>
          <w:rFonts w:ascii="Times New Roman" w:eastAsiaTheme="minorEastAsia" w:hAnsi="Times New Roman" w:cs="Times New Roman"/>
          <w:sz w:val="24"/>
          <w:szCs w:val="24"/>
        </w:rPr>
        <w:t xml:space="preserve"> (12.4%)</w:t>
      </w:r>
      <w:r w:rsidR="0044142C">
        <w:rPr>
          <w:rFonts w:ascii="Times New Roman" w:eastAsiaTheme="minorEastAsia" w:hAnsi="Times New Roman" w:cs="Times New Roman"/>
          <w:sz w:val="24"/>
          <w:szCs w:val="24"/>
        </w:rPr>
        <w:t xml:space="preserve"> strata</w:t>
      </w:r>
      <w:r w:rsidR="00E22605">
        <w:rPr>
          <w:rFonts w:ascii="Times New Roman" w:eastAsiaTheme="minorEastAsia" w:hAnsi="Times New Roman" w:cs="Times New Roman"/>
          <w:sz w:val="24"/>
          <w:szCs w:val="24"/>
        </w:rPr>
        <w:t>. A quarter of the cohort (</w:t>
      </w:r>
      <w:r w:rsidR="000538F7">
        <w:rPr>
          <w:rFonts w:ascii="Times New Roman" w:eastAsiaTheme="minorEastAsia" w:hAnsi="Times New Roman" w:cs="Times New Roman"/>
          <w:sz w:val="24"/>
          <w:szCs w:val="24"/>
        </w:rPr>
        <w:t>26.8%, 26/97) had advanced TB disease or hemoptysis</w:t>
      </w:r>
      <w:r w:rsidR="0044142C">
        <w:rPr>
          <w:rFonts w:ascii="Times New Roman" w:eastAsiaTheme="minorEastAsia" w:hAnsi="Times New Roman" w:cs="Times New Roman"/>
          <w:sz w:val="24"/>
          <w:szCs w:val="24"/>
        </w:rPr>
        <w:t xml:space="preserve"> (</w:t>
      </w:r>
      <w:r w:rsidR="0044142C">
        <w:rPr>
          <w:rFonts w:ascii="Times New Roman" w:eastAsiaTheme="minorEastAsia" w:hAnsi="Times New Roman" w:cs="Times New Roman"/>
          <w:b/>
          <w:bCs/>
          <w:sz w:val="24"/>
          <w:szCs w:val="24"/>
        </w:rPr>
        <w:t>Supplementary Table S1</w:t>
      </w:r>
      <w:r w:rsidR="0044142C">
        <w:rPr>
          <w:rFonts w:ascii="Times New Roman" w:eastAsiaTheme="minorEastAsia" w:hAnsi="Times New Roman" w:cs="Times New Roman"/>
          <w:sz w:val="24"/>
          <w:szCs w:val="24"/>
        </w:rPr>
        <w:t xml:space="preserve">). </w:t>
      </w:r>
    </w:p>
    <w:p w14:paraId="618E51F5" w14:textId="3FB0FABD" w:rsidR="0044142C" w:rsidRDefault="0044142C" w:rsidP="008C7170">
      <w:pPr>
        <w:spacing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Calibration of variant-filtering thresholds</w:t>
      </w:r>
    </w:p>
    <w:p w14:paraId="44267D10" w14:textId="35EF28CA" w:rsidR="0044142C" w:rsidRDefault="0044142C" w:rsidP="00D411EF">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sidR="006929C0">
        <w:rPr>
          <w:rFonts w:ascii="Times New Roman" w:eastAsiaTheme="minorEastAsia" w:hAnsi="Times New Roman" w:cs="Times New Roman"/>
          <w:sz w:val="24"/>
          <w:szCs w:val="24"/>
        </w:rPr>
        <w:t xml:space="preserve">The six-criterion lexicographic selector applied to </w:t>
      </w:r>
      <w:r w:rsidR="00D411EF">
        <w:rPr>
          <w:rFonts w:ascii="Times New Roman" w:eastAsiaTheme="minorEastAsia" w:hAnsi="Times New Roman" w:cs="Times New Roman"/>
          <w:sz w:val="24"/>
          <w:szCs w:val="24"/>
        </w:rPr>
        <w:t xml:space="preserve">within-patient replicate sputum pairs identified </w:t>
      </w:r>
      <w:r w:rsidR="00476562">
        <w:rPr>
          <w:rFonts w:ascii="Times New Roman" w:eastAsiaTheme="minorEastAsia" w:hAnsi="Times New Roman" w:cs="Times New Roman"/>
          <w:sz w:val="24"/>
          <w:szCs w:val="24"/>
        </w:rPr>
        <w:t>DP</w:t>
      </w:r>
      <w:r w:rsidR="00A105CD" w:rsidRPr="00451819">
        <w:rPr>
          <w:rFonts w:ascii="Times New Roman" w:eastAsiaTheme="minorEastAsia" w:hAnsi="Times New Roman" w:cs="Times New Roman"/>
          <w:sz w:val="24"/>
          <w:szCs w:val="24"/>
        </w:rPr>
        <w:t>≥</w:t>
      </w:r>
      <w:r w:rsidR="00A105CD">
        <w:rPr>
          <w:rFonts w:ascii="Times New Roman" w:eastAsiaTheme="minorEastAsia" w:hAnsi="Times New Roman" w:cs="Times New Roman"/>
          <w:sz w:val="24"/>
          <w:szCs w:val="24"/>
        </w:rPr>
        <w:t xml:space="preserve"> </w:t>
      </w:r>
      <w:r w:rsidR="00476562">
        <w:rPr>
          <w:rFonts w:ascii="Times New Roman" w:eastAsiaTheme="minorEastAsia" w:hAnsi="Times New Roman" w:cs="Times New Roman"/>
          <w:sz w:val="24"/>
          <w:szCs w:val="24"/>
        </w:rPr>
        <w:t>60x,</w:t>
      </w:r>
      <w:r w:rsidR="00BC2DCA">
        <w:rPr>
          <w:rFonts w:ascii="Times New Roman" w:eastAsiaTheme="minorEastAsia" w:hAnsi="Times New Roman" w:cs="Times New Roman"/>
          <w:sz w:val="24"/>
          <w:szCs w:val="24"/>
        </w:rPr>
        <w:t xml:space="preserve"> AD1 </w:t>
      </w:r>
      <w:r w:rsidR="00A105CD" w:rsidRPr="00451819">
        <w:rPr>
          <w:rFonts w:ascii="Times New Roman" w:eastAsiaTheme="minorEastAsia" w:hAnsi="Times New Roman" w:cs="Times New Roman"/>
          <w:sz w:val="24"/>
          <w:szCs w:val="24"/>
        </w:rPr>
        <w:t>≥</w:t>
      </w:r>
      <w:r w:rsidR="00A105CD">
        <w:rPr>
          <w:rFonts w:ascii="Times New Roman" w:eastAsiaTheme="minorEastAsia" w:hAnsi="Times New Roman" w:cs="Times New Roman"/>
          <w:sz w:val="24"/>
          <w:szCs w:val="24"/>
        </w:rPr>
        <w:t xml:space="preserve"> </w:t>
      </w:r>
      <w:r w:rsidR="00BC2DCA">
        <w:rPr>
          <w:rFonts w:ascii="Times New Roman" w:eastAsiaTheme="minorEastAsia" w:hAnsi="Times New Roman" w:cs="Times New Roman"/>
          <w:sz w:val="24"/>
          <w:szCs w:val="24"/>
        </w:rPr>
        <w:t xml:space="preserve">3, MAF </w:t>
      </w:r>
      <m:oMath>
        <m:r>
          <w:rPr>
            <w:rFonts w:ascii="Cambria Math" w:hAnsi="Cambria Math" w:cs="Times New Roman"/>
            <w:sz w:val="24"/>
            <w:szCs w:val="24"/>
          </w:rPr>
          <m:t>∈</m:t>
        </m:r>
      </m:oMath>
      <w:r w:rsidR="00BC2DCA">
        <w:rPr>
          <w:rFonts w:ascii="Times New Roman" w:eastAsiaTheme="minorEastAsia" w:hAnsi="Times New Roman" w:cs="Times New Roman"/>
          <w:sz w:val="24"/>
          <w:szCs w:val="24"/>
        </w:rPr>
        <w:t xml:space="preserve"> [0.02, 0.50</w:t>
      </w:r>
      <w:r w:rsidR="00D0389B">
        <w:rPr>
          <w:rFonts w:ascii="Times New Roman" w:eastAsiaTheme="minorEastAsia" w:hAnsi="Times New Roman" w:cs="Times New Roman"/>
          <w:sz w:val="24"/>
          <w:szCs w:val="24"/>
        </w:rPr>
        <w:t>] as the Stage 1 primary cell. Stage 2 selection-stability bootstrap (B = 1,000 nonparametric pair-level resamples) yielded 703 successful replications; 297 (29.7%) failed because the resampled grid contained insufficient discordant pairs to satisfy the lexicographic guards. The modal cell across successful replications coincided with the Stage 1 primary cell (45.7% of successful reps), and the marginal selection frequency was 100%</w:t>
      </w:r>
      <w:r w:rsidR="00063510">
        <w:rPr>
          <w:rFonts w:ascii="Times New Roman" w:eastAsiaTheme="minorEastAsia" w:hAnsi="Times New Roman" w:cs="Times New Roman"/>
          <w:sz w:val="24"/>
          <w:szCs w:val="24"/>
        </w:rPr>
        <w:t xml:space="preserve"> for MAF = 0.02 and 90.2% for AD1 = 3, indicating that the depth axis carried most of the residual variability (top five DP values: 60,40,90,80,130). </w:t>
      </w:r>
      <w:r w:rsidR="00FF30D0">
        <w:rPr>
          <w:rFonts w:ascii="Times New Roman" w:eastAsiaTheme="minorEastAsia" w:hAnsi="Times New Roman" w:cs="Times New Roman"/>
          <w:sz w:val="24"/>
          <w:szCs w:val="24"/>
        </w:rPr>
        <w:t>Flanking</w:t>
      </w:r>
      <w:r w:rsidR="00AA7C8F">
        <w:rPr>
          <w:rFonts w:ascii="Times New Roman" w:eastAsiaTheme="minorEastAsia" w:hAnsi="Times New Roman" w:cs="Times New Roman"/>
          <w:sz w:val="24"/>
          <w:szCs w:val="24"/>
        </w:rPr>
        <w:t xml:space="preserve"> tier</w:t>
      </w:r>
      <w:r w:rsidR="00FF30D0">
        <w:rPr>
          <w:rFonts w:ascii="Times New Roman" w:eastAsiaTheme="minorEastAsia" w:hAnsi="Times New Roman" w:cs="Times New Roman"/>
          <w:sz w:val="24"/>
          <w:szCs w:val="24"/>
        </w:rPr>
        <w:t xml:space="preserve"> </w:t>
      </w:r>
      <w:r w:rsidR="00AA7C8F">
        <w:rPr>
          <w:rFonts w:ascii="Times New Roman" w:eastAsiaTheme="minorEastAsia" w:hAnsi="Times New Roman" w:cs="Times New Roman"/>
          <w:sz w:val="24"/>
          <w:szCs w:val="24"/>
        </w:rPr>
        <w:t>s</w:t>
      </w:r>
      <w:r w:rsidR="00FF30D0">
        <w:rPr>
          <w:rFonts w:ascii="Times New Roman" w:eastAsiaTheme="minorEastAsia" w:hAnsi="Times New Roman" w:cs="Times New Roman"/>
          <w:sz w:val="24"/>
          <w:szCs w:val="24"/>
        </w:rPr>
        <w:t>election from the top K = 10 candidates</w:t>
      </w:r>
      <w:r w:rsidR="00E42F36">
        <w:rPr>
          <w:rFonts w:ascii="Times New Roman" w:eastAsiaTheme="minorEastAsia" w:hAnsi="Times New Roman" w:cs="Times New Roman"/>
          <w:sz w:val="24"/>
          <w:szCs w:val="24"/>
        </w:rPr>
        <w:t xml:space="preserve"> yielded</w:t>
      </w:r>
      <w:r w:rsidR="00AA7C8F">
        <w:rPr>
          <w:rFonts w:ascii="Times New Roman" w:eastAsiaTheme="minorEastAsia" w:hAnsi="Times New Roman" w:cs="Times New Roman"/>
          <w:sz w:val="24"/>
          <w:szCs w:val="24"/>
        </w:rPr>
        <w:t xml:space="preserve"> Looser (DP</w:t>
      </w:r>
      <w:r w:rsidR="00641F5E">
        <w:rPr>
          <w:rFonts w:ascii="Times New Roman" w:eastAsiaTheme="minorEastAsia" w:hAnsi="Times New Roman" w:cs="Times New Roman"/>
          <w:sz w:val="24"/>
          <w:szCs w:val="24"/>
        </w:rPr>
        <w:t xml:space="preserve"> </w:t>
      </w:r>
      <w:r w:rsidR="00A105CD" w:rsidRPr="00451819">
        <w:rPr>
          <w:rFonts w:ascii="Times New Roman" w:eastAsiaTheme="minorEastAsia" w:hAnsi="Times New Roman" w:cs="Times New Roman"/>
          <w:sz w:val="24"/>
          <w:szCs w:val="24"/>
        </w:rPr>
        <w:t>≥</w:t>
      </w:r>
      <w:r w:rsidR="00A105CD">
        <w:rPr>
          <w:rFonts w:ascii="Times New Roman" w:eastAsiaTheme="minorEastAsia" w:hAnsi="Times New Roman" w:cs="Times New Roman"/>
          <w:sz w:val="24"/>
          <w:szCs w:val="24"/>
        </w:rPr>
        <w:t xml:space="preserve"> </w:t>
      </w:r>
      <w:r w:rsidR="00641F5E">
        <w:rPr>
          <w:rFonts w:ascii="Times New Roman" w:eastAsiaTheme="minorEastAsia" w:hAnsi="Times New Roman" w:cs="Times New Roman"/>
          <w:sz w:val="24"/>
          <w:szCs w:val="24"/>
        </w:rPr>
        <w:t xml:space="preserve">40, AD1 </w:t>
      </w:r>
      <w:r w:rsidR="00A105CD" w:rsidRPr="00451819">
        <w:rPr>
          <w:rFonts w:ascii="Times New Roman" w:eastAsiaTheme="minorEastAsia" w:hAnsi="Times New Roman" w:cs="Times New Roman"/>
          <w:sz w:val="24"/>
          <w:szCs w:val="24"/>
        </w:rPr>
        <w:t>≥</w:t>
      </w:r>
      <w:r w:rsidR="00A105CD">
        <w:rPr>
          <w:rFonts w:ascii="Times New Roman" w:eastAsiaTheme="minorEastAsia" w:hAnsi="Times New Roman" w:cs="Times New Roman"/>
          <w:sz w:val="24"/>
          <w:szCs w:val="24"/>
        </w:rPr>
        <w:t xml:space="preserve"> </w:t>
      </w:r>
      <w:r w:rsidR="00641F5E">
        <w:rPr>
          <w:rFonts w:ascii="Times New Roman" w:eastAsiaTheme="minorEastAsia" w:hAnsi="Times New Roman" w:cs="Times New Roman"/>
          <w:sz w:val="24"/>
          <w:szCs w:val="24"/>
        </w:rPr>
        <w:t xml:space="preserve">3) and Tighter (DP </w:t>
      </w:r>
      <w:r w:rsidR="00A105CD" w:rsidRPr="00451819">
        <w:rPr>
          <w:rFonts w:ascii="Times New Roman" w:eastAsiaTheme="minorEastAsia" w:hAnsi="Times New Roman" w:cs="Times New Roman"/>
          <w:sz w:val="24"/>
          <w:szCs w:val="24"/>
        </w:rPr>
        <w:t>≥</w:t>
      </w:r>
      <w:r w:rsidR="00A105CD">
        <w:rPr>
          <w:rFonts w:ascii="Times New Roman" w:eastAsiaTheme="minorEastAsia" w:hAnsi="Times New Roman" w:cs="Times New Roman"/>
          <w:sz w:val="24"/>
          <w:szCs w:val="24"/>
        </w:rPr>
        <w:t xml:space="preserve"> </w:t>
      </w:r>
      <w:r w:rsidR="00641F5E">
        <w:rPr>
          <w:rFonts w:ascii="Times New Roman" w:eastAsiaTheme="minorEastAsia" w:hAnsi="Times New Roman" w:cs="Times New Roman"/>
          <w:sz w:val="24"/>
          <w:szCs w:val="24"/>
        </w:rPr>
        <w:t xml:space="preserve">100, AD1 </w:t>
      </w:r>
      <w:r w:rsidR="00A105CD" w:rsidRPr="00451819">
        <w:rPr>
          <w:rFonts w:ascii="Times New Roman" w:eastAsiaTheme="minorEastAsia" w:hAnsi="Times New Roman" w:cs="Times New Roman"/>
          <w:sz w:val="24"/>
          <w:szCs w:val="24"/>
        </w:rPr>
        <w:t>≥</w:t>
      </w:r>
      <w:r w:rsidR="00A105CD">
        <w:rPr>
          <w:rFonts w:ascii="Times New Roman" w:eastAsiaTheme="minorEastAsia" w:hAnsi="Times New Roman" w:cs="Times New Roman"/>
          <w:sz w:val="24"/>
          <w:szCs w:val="24"/>
        </w:rPr>
        <w:t xml:space="preserve"> </w:t>
      </w:r>
      <w:r w:rsidR="00641F5E">
        <w:rPr>
          <w:rFonts w:ascii="Times New Roman" w:eastAsiaTheme="minorEastAsia" w:hAnsi="Times New Roman" w:cs="Times New Roman"/>
          <w:sz w:val="24"/>
          <w:szCs w:val="24"/>
        </w:rPr>
        <w:t>6) sensitivity rules</w:t>
      </w:r>
      <w:r w:rsidR="00A105CD">
        <w:rPr>
          <w:rFonts w:ascii="Times New Roman" w:eastAsiaTheme="minorEastAsia" w:hAnsi="Times New Roman" w:cs="Times New Roman"/>
          <w:sz w:val="24"/>
          <w:szCs w:val="24"/>
        </w:rPr>
        <w:t xml:space="preserve"> (</w:t>
      </w:r>
      <w:r w:rsidR="00A105CD">
        <w:rPr>
          <w:rFonts w:ascii="Times New Roman" w:eastAsiaTheme="minorEastAsia" w:hAnsi="Times New Roman" w:cs="Times New Roman"/>
          <w:b/>
          <w:bCs/>
          <w:sz w:val="24"/>
          <w:szCs w:val="24"/>
        </w:rPr>
        <w:t>Figure 1; Table 1</w:t>
      </w:r>
      <w:r w:rsidR="00A105CD">
        <w:rPr>
          <w:rFonts w:ascii="Times New Roman" w:eastAsiaTheme="minorEastAsia" w:hAnsi="Times New Roman" w:cs="Times New Roman"/>
          <w:sz w:val="24"/>
          <w:szCs w:val="24"/>
        </w:rPr>
        <w:t xml:space="preserve">). </w:t>
      </w:r>
    </w:p>
    <w:p w14:paraId="3EC3F9F8" w14:textId="4785288A" w:rsidR="00313555" w:rsidRDefault="00313555" w:rsidP="008C7170">
      <w:pPr>
        <w:spacing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Depth-concordance diagnostic</w:t>
      </w:r>
    </w:p>
    <w:p w14:paraId="3D7900E6" w14:textId="07FB5926" w:rsidR="00313555" w:rsidRDefault="00313555" w:rsidP="008C7170">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Pr>
          <w:rFonts w:ascii="Times New Roman" w:eastAsiaTheme="minorEastAsia" w:hAnsi="Times New Roman" w:cs="Times New Roman"/>
          <w:sz w:val="24"/>
          <w:szCs w:val="24"/>
        </w:rPr>
        <w:t xml:space="preserve">Construct validity of the calibrated rule was assessed by regressing two replicate-pair concordance outcomes on pair minimum coverage (per +10x depth, patient-clustered standard errors; 169 pairs nesting in 67 patients). </w:t>
      </w:r>
      <w:r w:rsidRPr="001C580E">
        <w:rPr>
          <w:rFonts w:ascii="Times New Roman" w:eastAsiaTheme="minorEastAsia" w:hAnsi="Times New Roman" w:cs="Times New Roman"/>
          <w:sz w:val="24"/>
          <w:szCs w:val="24"/>
        </w:rPr>
        <w:t>The probability that both specimens were silent at the candidate cell was high (155 of 169 pairs, 91.7%) and did not vary with depth at any tier</w:t>
      </w:r>
      <w:r w:rsidR="006C7317" w:rsidRPr="001C580E">
        <w:rPr>
          <w:rFonts w:ascii="Times New Roman" w:eastAsiaTheme="minorEastAsia" w:hAnsi="Times New Roman" w:cs="Times New Roman"/>
          <w:sz w:val="24"/>
          <w:szCs w:val="24"/>
        </w:rPr>
        <w:t xml:space="preserve"> (slope 0.087 per 10x, p = 0.15), consistent with a stringency-driven floor rather than a depth-driven detection failure. Among the six pairs in which both specimens contributed at least one passing </w:t>
      </w:r>
      <w:r w:rsidR="006C7317" w:rsidRPr="001C580E">
        <w:rPr>
          <w:rFonts w:ascii="Times New Roman" w:eastAsiaTheme="minorEastAsia" w:hAnsi="Times New Roman" w:cs="Times New Roman"/>
          <w:sz w:val="24"/>
          <w:szCs w:val="24"/>
        </w:rPr>
        <w:lastRenderedPageBreak/>
        <w:t>call, Jaccard similarity rose with depth at all three tiers (</w:t>
      </w:r>
      <w:r w:rsidR="00BA6765" w:rsidRPr="001C580E">
        <w:rPr>
          <w:rFonts w:ascii="Times New Roman" w:eastAsiaTheme="minorEastAsia" w:hAnsi="Times New Roman" w:cs="Times New Roman"/>
          <w:sz w:val="24"/>
          <w:szCs w:val="24"/>
        </w:rPr>
        <w:t>Looser slope 0.030, p = 0.04; Primary 0.029, p = 0.05; Tighter</w:t>
      </w:r>
      <w:r w:rsidR="00161543" w:rsidRPr="001C580E">
        <w:rPr>
          <w:rFonts w:ascii="Times New Roman" w:eastAsiaTheme="minorEastAsia" w:hAnsi="Times New Roman" w:cs="Times New Roman"/>
          <w:sz w:val="24"/>
          <w:szCs w:val="24"/>
        </w:rPr>
        <w:t xml:space="preserve"> 0.034, p = 0.02),</w:t>
      </w:r>
      <w:r w:rsidR="00161543">
        <w:rPr>
          <w:rFonts w:ascii="Times New Roman" w:eastAsiaTheme="minorEastAsia" w:hAnsi="Times New Roman" w:cs="Times New Roman"/>
          <w:sz w:val="24"/>
          <w:szCs w:val="24"/>
        </w:rPr>
        <w:t xml:space="preserve"> a pattern consistent with measurement-driven concordance but supported by only six evaluable pairs and reported as exploratory (</w:t>
      </w:r>
      <w:r w:rsidR="00161543">
        <w:rPr>
          <w:rFonts w:ascii="Times New Roman" w:eastAsiaTheme="minorEastAsia" w:hAnsi="Times New Roman" w:cs="Times New Roman"/>
          <w:b/>
          <w:bCs/>
          <w:sz w:val="24"/>
          <w:szCs w:val="24"/>
        </w:rPr>
        <w:t>Supplementary Figure S1</w:t>
      </w:r>
      <w:r w:rsidR="00161543">
        <w:rPr>
          <w:rFonts w:ascii="Times New Roman" w:eastAsiaTheme="minorEastAsia" w:hAnsi="Times New Roman" w:cs="Times New Roman"/>
          <w:sz w:val="24"/>
          <w:szCs w:val="24"/>
        </w:rPr>
        <w:t>).</w:t>
      </w:r>
    </w:p>
    <w:p w14:paraId="629F84DB" w14:textId="0C29B5BC" w:rsidR="00C831B1" w:rsidRDefault="00C831B1" w:rsidP="008C7170">
      <w:pPr>
        <w:spacing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Per-patient detection prevalence under the calibrated rule</w:t>
      </w:r>
    </w:p>
    <w:p w14:paraId="2E6FA81B" w14:textId="21D0A0BB" w:rsidR="006427C1" w:rsidRDefault="00C831B1" w:rsidP="006427C1">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Pr>
          <w:rFonts w:ascii="Times New Roman" w:eastAsiaTheme="minorEastAsia" w:hAnsi="Times New Roman" w:cs="Times New Roman"/>
          <w:sz w:val="24"/>
          <w:szCs w:val="24"/>
        </w:rPr>
        <w:t>We defined</w:t>
      </w:r>
      <w:r w:rsidR="0072592C">
        <w:rPr>
          <w:rFonts w:ascii="Times New Roman" w:eastAsiaTheme="minorEastAsia" w:hAnsi="Times New Roman" w:cs="Times New Roman"/>
          <w:sz w:val="24"/>
          <w:szCs w:val="24"/>
        </w:rPr>
        <w:t xml:space="preserve"> detected within-</w:t>
      </w:r>
      <w:r w:rsidR="006427C1">
        <w:rPr>
          <w:rFonts w:ascii="Times New Roman" w:eastAsiaTheme="minorEastAsia" w:hAnsi="Times New Roman" w:cs="Times New Roman"/>
          <w:sz w:val="24"/>
          <w:szCs w:val="24"/>
        </w:rPr>
        <w:t>host</w:t>
      </w:r>
      <w:r w:rsidR="0072592C">
        <w:rPr>
          <w:rFonts w:ascii="Times New Roman" w:eastAsiaTheme="minorEastAsia" w:hAnsi="Times New Roman" w:cs="Times New Roman"/>
          <w:sz w:val="24"/>
          <w:szCs w:val="24"/>
        </w:rPr>
        <w:t xml:space="preserve"> genetic diversity at tier </w:t>
      </w:r>
      <w:r w:rsidR="0072592C">
        <w:rPr>
          <w:rFonts w:ascii="Times New Roman" w:eastAsiaTheme="minorEastAsia" w:hAnsi="Times New Roman" w:cs="Times New Roman"/>
          <w:i/>
          <w:iCs/>
          <w:sz w:val="24"/>
          <w:szCs w:val="24"/>
        </w:rPr>
        <w:t>t</w:t>
      </w:r>
      <w:r w:rsidR="006427C1">
        <w:rPr>
          <w:rFonts w:ascii="Times New Roman" w:eastAsiaTheme="minorEastAsia" w:hAnsi="Times New Roman" w:cs="Times New Roman"/>
          <w:sz w:val="24"/>
          <w:szCs w:val="24"/>
        </w:rPr>
        <w:t xml:space="preserve"> as any within-patient samples (M0/M1/M2) yielding </w:t>
      </w:r>
      <w:r w:rsidR="006427C1" w:rsidRPr="00451819">
        <w:rPr>
          <w:rFonts w:ascii="Times New Roman" w:eastAsiaTheme="minorEastAsia" w:hAnsi="Times New Roman" w:cs="Times New Roman"/>
          <w:sz w:val="24"/>
          <w:szCs w:val="24"/>
        </w:rPr>
        <w:t>≥</w:t>
      </w:r>
      <w:r w:rsidR="006427C1">
        <w:rPr>
          <w:rFonts w:ascii="Times New Roman" w:eastAsiaTheme="minorEastAsia" w:hAnsi="Times New Roman" w:cs="Times New Roman"/>
          <w:sz w:val="24"/>
          <w:szCs w:val="24"/>
        </w:rPr>
        <w:t xml:space="preserve"> 1 variant call passing tier </w:t>
      </w:r>
      <w:r w:rsidR="006427C1">
        <w:rPr>
          <w:rFonts w:ascii="Times New Roman" w:eastAsiaTheme="minorEastAsia" w:hAnsi="Times New Roman" w:cs="Times New Roman"/>
          <w:i/>
          <w:iCs/>
          <w:sz w:val="24"/>
          <w:szCs w:val="24"/>
        </w:rPr>
        <w:t>t</w:t>
      </w:r>
      <w:r w:rsidR="000342E9">
        <w:rPr>
          <w:rFonts w:ascii="Times New Roman" w:eastAsiaTheme="minorEastAsia" w:hAnsi="Times New Roman" w:cs="Times New Roman"/>
          <w:sz w:val="24"/>
          <w:szCs w:val="24"/>
        </w:rPr>
        <w:t>.</w:t>
      </w:r>
      <w:r w:rsidR="00F00E3B">
        <w:rPr>
          <w:rFonts w:ascii="Times New Roman" w:eastAsiaTheme="minorEastAsia" w:hAnsi="Times New Roman" w:cs="Times New Roman"/>
          <w:sz w:val="24"/>
          <w:szCs w:val="24"/>
        </w:rPr>
        <w:t xml:space="preserve"> Under the Primary tier, 16 of 97 patients </w:t>
      </w:r>
      <w:r w:rsidR="00A870C2">
        <w:rPr>
          <w:rFonts w:ascii="Times New Roman" w:eastAsiaTheme="minorEastAsia" w:hAnsi="Times New Roman" w:cs="Times New Roman"/>
          <w:sz w:val="24"/>
          <w:szCs w:val="24"/>
        </w:rPr>
        <w:t>had detectable within-host diversity (16.5%, Wilson 95% CI 10.4 – 25.1), with the Looser tier yielding the same 16 patients and the Tighter tier yielding 15</w:t>
      </w:r>
      <w:r w:rsidR="000E62B6">
        <w:rPr>
          <w:rFonts w:ascii="Times New Roman" w:eastAsiaTheme="minorEastAsia" w:hAnsi="Times New Roman" w:cs="Times New Roman"/>
          <w:sz w:val="24"/>
          <w:szCs w:val="24"/>
        </w:rPr>
        <w:t xml:space="preserve"> (15.5%, 9.6 – 24.0). Stratified prevalence at the Primary tier was</w:t>
      </w:r>
      <w:r w:rsidR="00F53874">
        <w:rPr>
          <w:rFonts w:ascii="Times New Roman" w:eastAsiaTheme="minorEastAsia" w:hAnsi="Times New Roman" w:cs="Times New Roman"/>
          <w:sz w:val="24"/>
          <w:szCs w:val="24"/>
        </w:rPr>
        <w:t xml:space="preserve"> 16.7% (2/12, 4.7 – 44.8) in HIV-positive and 16.5% (14/</w:t>
      </w:r>
      <w:r w:rsidR="00992B41">
        <w:rPr>
          <w:rFonts w:ascii="Times New Roman" w:eastAsiaTheme="minorEastAsia" w:hAnsi="Times New Roman" w:cs="Times New Roman"/>
          <w:sz w:val="24"/>
          <w:szCs w:val="24"/>
        </w:rPr>
        <w:t>84, 10.1 – 25.8) in HIV-negative patients; 19.2% (5/26</w:t>
      </w:r>
      <w:r w:rsidR="006A51A4">
        <w:rPr>
          <w:rFonts w:ascii="Times New Roman" w:eastAsiaTheme="minorEastAsia" w:hAnsi="Times New Roman" w:cs="Times New Roman"/>
          <w:sz w:val="24"/>
          <w:szCs w:val="24"/>
        </w:rPr>
        <w:t>, 8.5 – 37.9) in female and 15.5% (11/71, 8.9</w:t>
      </w:r>
      <w:r w:rsidR="00E7509F">
        <w:rPr>
          <w:rFonts w:ascii="Times New Roman" w:eastAsiaTheme="minorEastAsia" w:hAnsi="Times New Roman" w:cs="Times New Roman"/>
          <w:sz w:val="24"/>
          <w:szCs w:val="24"/>
        </w:rPr>
        <w:t xml:space="preserve"> – </w:t>
      </w:r>
      <w:r w:rsidR="006A51A4">
        <w:rPr>
          <w:rFonts w:ascii="Times New Roman" w:eastAsiaTheme="minorEastAsia" w:hAnsi="Times New Roman" w:cs="Times New Roman"/>
          <w:sz w:val="24"/>
          <w:szCs w:val="24"/>
        </w:rPr>
        <w:t>25.7) in male patients; 8.3% (1/12, 1.</w:t>
      </w:r>
      <w:r w:rsidR="00682DA0">
        <w:rPr>
          <w:rFonts w:ascii="Times New Roman" w:eastAsiaTheme="minorEastAsia" w:hAnsi="Times New Roman" w:cs="Times New Roman"/>
          <w:sz w:val="24"/>
          <w:szCs w:val="24"/>
        </w:rPr>
        <w:t>5 – 35.4) in patients aged &lt; 25 years versus 17.6% (15</w:t>
      </w:r>
      <w:r w:rsidR="006E6F7D">
        <w:rPr>
          <w:rFonts w:ascii="Times New Roman" w:eastAsiaTheme="minorEastAsia" w:hAnsi="Times New Roman" w:cs="Times New Roman"/>
          <w:sz w:val="24"/>
          <w:szCs w:val="24"/>
        </w:rPr>
        <w:t>/85, 11.0</w:t>
      </w:r>
      <w:r w:rsidR="00E7509F">
        <w:rPr>
          <w:rFonts w:ascii="Times New Roman" w:eastAsiaTheme="minorEastAsia" w:hAnsi="Times New Roman" w:cs="Times New Roman"/>
          <w:sz w:val="24"/>
          <w:szCs w:val="24"/>
        </w:rPr>
        <w:t xml:space="preserve"> – </w:t>
      </w:r>
      <w:r w:rsidR="006E6F7D">
        <w:rPr>
          <w:rFonts w:ascii="Times New Roman" w:eastAsiaTheme="minorEastAsia" w:hAnsi="Times New Roman" w:cs="Times New Roman"/>
          <w:sz w:val="24"/>
          <w:szCs w:val="24"/>
        </w:rPr>
        <w:t xml:space="preserve">27.1) in patients aged </w:t>
      </w:r>
      <w:r w:rsidR="006E6F7D" w:rsidRPr="00451819">
        <w:rPr>
          <w:rFonts w:ascii="Times New Roman" w:eastAsiaTheme="minorEastAsia" w:hAnsi="Times New Roman" w:cs="Times New Roman"/>
          <w:sz w:val="24"/>
          <w:szCs w:val="24"/>
        </w:rPr>
        <w:t>≥</w:t>
      </w:r>
      <w:r w:rsidR="006E6F7D">
        <w:rPr>
          <w:rFonts w:ascii="Times New Roman" w:eastAsiaTheme="minorEastAsia" w:hAnsi="Times New Roman" w:cs="Times New Roman"/>
          <w:sz w:val="24"/>
          <w:szCs w:val="24"/>
        </w:rPr>
        <w:t>25 years</w:t>
      </w:r>
      <w:r w:rsidR="0033506E">
        <w:rPr>
          <w:rFonts w:ascii="Times New Roman" w:eastAsiaTheme="minorEastAsia" w:hAnsi="Times New Roman" w:cs="Times New Roman"/>
          <w:sz w:val="24"/>
          <w:szCs w:val="24"/>
        </w:rPr>
        <w:t xml:space="preserve">; </w:t>
      </w:r>
      <w:r w:rsidR="00D32712">
        <w:rPr>
          <w:rFonts w:ascii="Times New Roman" w:eastAsiaTheme="minorEastAsia" w:hAnsi="Times New Roman" w:cs="Times New Roman"/>
          <w:sz w:val="24"/>
          <w:szCs w:val="24"/>
        </w:rPr>
        <w:t>15.4% (4/26, 6.2 – 33.5)</w:t>
      </w:r>
      <w:r w:rsidR="0033214F">
        <w:rPr>
          <w:rFonts w:ascii="Times New Roman" w:eastAsiaTheme="minorEastAsia" w:hAnsi="Times New Roman" w:cs="Times New Roman"/>
          <w:sz w:val="24"/>
          <w:szCs w:val="24"/>
        </w:rPr>
        <w:t xml:space="preserve"> in patients with hemoptysis versus 16.9% (12/71</w:t>
      </w:r>
      <w:r w:rsidR="00E7509F">
        <w:rPr>
          <w:rFonts w:ascii="Times New Roman" w:eastAsiaTheme="minorEastAsia" w:hAnsi="Times New Roman" w:cs="Times New Roman"/>
          <w:sz w:val="24"/>
          <w:szCs w:val="24"/>
        </w:rPr>
        <w:t xml:space="preserve">, 9.9 – 27.3) in patients without hemoptysis; </w:t>
      </w:r>
      <w:r w:rsidR="002927D9">
        <w:rPr>
          <w:rFonts w:ascii="Times New Roman" w:eastAsiaTheme="minorEastAsia" w:hAnsi="Times New Roman" w:cs="Times New Roman"/>
          <w:sz w:val="24"/>
          <w:szCs w:val="24"/>
        </w:rPr>
        <w:t>and</w:t>
      </w:r>
      <w:r w:rsidR="006E6F7D">
        <w:rPr>
          <w:rFonts w:ascii="Times New Roman" w:eastAsiaTheme="minorEastAsia" w:hAnsi="Times New Roman" w:cs="Times New Roman"/>
          <w:sz w:val="24"/>
          <w:szCs w:val="24"/>
        </w:rPr>
        <w:t xml:space="preserve"> </w:t>
      </w:r>
      <w:r w:rsidR="00E90B80">
        <w:rPr>
          <w:rFonts w:ascii="Times New Roman" w:eastAsiaTheme="minorEastAsia" w:hAnsi="Times New Roman" w:cs="Times New Roman"/>
          <w:sz w:val="24"/>
          <w:szCs w:val="24"/>
        </w:rPr>
        <w:t>13.2%</w:t>
      </w:r>
      <w:r w:rsidR="009149AF">
        <w:rPr>
          <w:rFonts w:ascii="Times New Roman" w:eastAsiaTheme="minorEastAsia" w:hAnsi="Times New Roman" w:cs="Times New Roman"/>
          <w:sz w:val="24"/>
          <w:szCs w:val="24"/>
        </w:rPr>
        <w:t xml:space="preserve"> (10/76, 7.3</w:t>
      </w:r>
      <w:r w:rsidR="00E7509F">
        <w:rPr>
          <w:rFonts w:ascii="Times New Roman" w:eastAsiaTheme="minorEastAsia" w:hAnsi="Times New Roman" w:cs="Times New Roman"/>
          <w:sz w:val="24"/>
          <w:szCs w:val="24"/>
        </w:rPr>
        <w:t xml:space="preserve"> – </w:t>
      </w:r>
      <w:r w:rsidR="009149AF">
        <w:rPr>
          <w:rFonts w:ascii="Times New Roman" w:eastAsiaTheme="minorEastAsia" w:hAnsi="Times New Roman" w:cs="Times New Roman"/>
          <w:sz w:val="24"/>
          <w:szCs w:val="24"/>
        </w:rPr>
        <w:t>22.6)</w:t>
      </w:r>
      <w:r w:rsidR="00DF3DCA">
        <w:rPr>
          <w:rFonts w:ascii="Times New Roman" w:eastAsiaTheme="minorEastAsia" w:hAnsi="Times New Roman" w:cs="Times New Roman"/>
          <w:sz w:val="24"/>
          <w:szCs w:val="24"/>
        </w:rPr>
        <w:t xml:space="preserve"> in lineage 4 strains versus 28.6%</w:t>
      </w:r>
      <w:r w:rsidR="00F80A35">
        <w:rPr>
          <w:rFonts w:ascii="Times New Roman" w:eastAsiaTheme="minorEastAsia" w:hAnsi="Times New Roman" w:cs="Times New Roman"/>
          <w:sz w:val="24"/>
          <w:szCs w:val="24"/>
        </w:rPr>
        <w:t xml:space="preserve"> </w:t>
      </w:r>
      <w:r w:rsidR="00DF3DCA">
        <w:rPr>
          <w:rFonts w:ascii="Times New Roman" w:eastAsiaTheme="minorEastAsia" w:hAnsi="Times New Roman" w:cs="Times New Roman"/>
          <w:sz w:val="24"/>
          <w:szCs w:val="24"/>
        </w:rPr>
        <w:t>(6/21</w:t>
      </w:r>
      <w:r w:rsidR="00F80A35">
        <w:rPr>
          <w:rFonts w:ascii="Times New Roman" w:eastAsiaTheme="minorEastAsia" w:hAnsi="Times New Roman" w:cs="Times New Roman"/>
          <w:sz w:val="24"/>
          <w:szCs w:val="24"/>
        </w:rPr>
        <w:t>, 13.8</w:t>
      </w:r>
      <w:r w:rsidR="00E7509F">
        <w:rPr>
          <w:rFonts w:ascii="Times New Roman" w:eastAsiaTheme="minorEastAsia" w:hAnsi="Times New Roman" w:cs="Times New Roman"/>
          <w:sz w:val="24"/>
          <w:szCs w:val="24"/>
        </w:rPr>
        <w:t xml:space="preserve"> – </w:t>
      </w:r>
      <w:r w:rsidR="00F80A35">
        <w:rPr>
          <w:rFonts w:ascii="Times New Roman" w:eastAsiaTheme="minorEastAsia" w:hAnsi="Times New Roman" w:cs="Times New Roman"/>
          <w:sz w:val="24"/>
          <w:szCs w:val="24"/>
        </w:rPr>
        <w:t xml:space="preserve">50.0) in non-lineage 4 strains </w:t>
      </w:r>
      <w:r w:rsidR="006E6F7D">
        <w:rPr>
          <w:rFonts w:ascii="Times New Roman" w:eastAsiaTheme="minorEastAsia" w:hAnsi="Times New Roman" w:cs="Times New Roman"/>
          <w:sz w:val="24"/>
          <w:szCs w:val="24"/>
        </w:rPr>
        <w:t>(</w:t>
      </w:r>
      <w:r w:rsidR="006E6F7D">
        <w:rPr>
          <w:rFonts w:ascii="Times New Roman" w:eastAsiaTheme="minorEastAsia" w:hAnsi="Times New Roman" w:cs="Times New Roman"/>
          <w:b/>
          <w:bCs/>
          <w:sz w:val="24"/>
          <w:szCs w:val="24"/>
        </w:rPr>
        <w:t>Table 2</w:t>
      </w:r>
      <w:r w:rsidR="006E6F7D">
        <w:rPr>
          <w:rFonts w:ascii="Times New Roman" w:eastAsiaTheme="minorEastAsia" w:hAnsi="Times New Roman" w:cs="Times New Roman"/>
          <w:sz w:val="24"/>
          <w:szCs w:val="24"/>
        </w:rPr>
        <w:t xml:space="preserve">). </w:t>
      </w:r>
    </w:p>
    <w:p w14:paraId="5384E64B" w14:textId="5D6E4CB4" w:rsidR="007E79FB" w:rsidRDefault="007E79FB" w:rsidP="006427C1">
      <w:pPr>
        <w:spacing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Logistic regression of patient-level detection on demographic covariates</w:t>
      </w:r>
    </w:p>
    <w:p w14:paraId="6454E566" w14:textId="14B41BA9" w:rsidR="007E79FB" w:rsidRDefault="007E79FB" w:rsidP="006427C1">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sidR="00BB4A6D">
        <w:rPr>
          <w:rFonts w:ascii="Times New Roman" w:eastAsiaTheme="minorEastAsia" w:hAnsi="Times New Roman" w:cs="Times New Roman"/>
          <w:sz w:val="24"/>
          <w:szCs w:val="24"/>
        </w:rPr>
        <w:t>Events per variable were 16/3 at Looser</w:t>
      </w:r>
      <w:r w:rsidR="002C2BC3">
        <w:rPr>
          <w:rFonts w:ascii="Times New Roman" w:eastAsiaTheme="minorEastAsia" w:hAnsi="Times New Roman" w:cs="Times New Roman"/>
          <w:sz w:val="24"/>
          <w:szCs w:val="24"/>
        </w:rPr>
        <w:t xml:space="preserve"> and </w:t>
      </w:r>
      <w:r w:rsidR="00BB4A6D">
        <w:rPr>
          <w:rFonts w:ascii="Times New Roman" w:eastAsiaTheme="minorEastAsia" w:hAnsi="Times New Roman" w:cs="Times New Roman"/>
          <w:sz w:val="24"/>
          <w:szCs w:val="24"/>
        </w:rPr>
        <w:t>Primary</w:t>
      </w:r>
      <w:r w:rsidR="002C2BC3">
        <w:rPr>
          <w:rFonts w:ascii="Times New Roman" w:eastAsiaTheme="minorEastAsia" w:hAnsi="Times New Roman" w:cs="Times New Roman"/>
          <w:sz w:val="24"/>
          <w:szCs w:val="24"/>
        </w:rPr>
        <w:t xml:space="preserve"> and</w:t>
      </w:r>
      <w:r w:rsidR="000947F1">
        <w:rPr>
          <w:rFonts w:ascii="Times New Roman" w:eastAsiaTheme="minorEastAsia" w:hAnsi="Times New Roman" w:cs="Times New Roman"/>
          <w:sz w:val="24"/>
          <w:szCs w:val="24"/>
        </w:rPr>
        <w:t xml:space="preserve"> 15/3 at Tighter</w:t>
      </w:r>
      <w:r w:rsidR="002C2BC3">
        <w:rPr>
          <w:rFonts w:ascii="Times New Roman" w:eastAsiaTheme="minorEastAsia" w:hAnsi="Times New Roman" w:cs="Times New Roman"/>
          <w:sz w:val="24"/>
          <w:szCs w:val="24"/>
        </w:rPr>
        <w:t>, with</w:t>
      </w:r>
      <w:r w:rsidR="00C255A7">
        <w:rPr>
          <w:rFonts w:ascii="Times New Roman" w:eastAsiaTheme="minorEastAsia" w:hAnsi="Times New Roman" w:cs="Times New Roman"/>
          <w:sz w:val="24"/>
          <w:szCs w:val="24"/>
        </w:rPr>
        <w:t xml:space="preserve"> a sparse covariate combination </w:t>
      </w:r>
      <w:r w:rsidR="000947F1">
        <w:rPr>
          <w:rFonts w:ascii="Times New Roman" w:eastAsiaTheme="minorEastAsia" w:hAnsi="Times New Roman" w:cs="Times New Roman"/>
          <w:sz w:val="24"/>
          <w:szCs w:val="24"/>
        </w:rPr>
        <w:t xml:space="preserve">(age &lt;25 x </w:t>
      </w:r>
      <w:r w:rsidR="00723BA6">
        <w:rPr>
          <w:rFonts w:ascii="Times New Roman" w:eastAsiaTheme="minorEastAsia" w:hAnsi="Times New Roman" w:cs="Times New Roman"/>
          <w:sz w:val="24"/>
          <w:szCs w:val="24"/>
        </w:rPr>
        <w:t>detected = 1 of 12 patients)</w:t>
      </w:r>
      <w:r w:rsidR="00A1217A">
        <w:rPr>
          <w:rFonts w:ascii="Times New Roman" w:eastAsiaTheme="minorEastAsia" w:hAnsi="Times New Roman" w:cs="Times New Roman"/>
          <w:sz w:val="24"/>
          <w:szCs w:val="24"/>
        </w:rPr>
        <w:t xml:space="preserve">. </w:t>
      </w:r>
      <w:r w:rsidR="001F4E01">
        <w:rPr>
          <w:rFonts w:ascii="Times New Roman" w:eastAsiaTheme="minorEastAsia" w:hAnsi="Times New Roman" w:cs="Times New Roman"/>
          <w:sz w:val="24"/>
          <w:szCs w:val="24"/>
        </w:rPr>
        <w:t>At the Primary tier, Firth odds ratios with 95% confidence intervals as</w:t>
      </w:r>
      <w:r w:rsidR="00867551">
        <w:rPr>
          <w:rFonts w:ascii="Times New Roman" w:eastAsiaTheme="minorEastAsia" w:hAnsi="Times New Roman" w:cs="Times New Roman"/>
          <w:sz w:val="24"/>
          <w:szCs w:val="24"/>
        </w:rPr>
        <w:t xml:space="preserve"> ranges were 0.90 (0.14</w:t>
      </w:r>
      <w:r w:rsidR="009A021D">
        <w:rPr>
          <w:rFonts w:ascii="Times New Roman" w:eastAsiaTheme="minorEastAsia" w:hAnsi="Times New Roman" w:cs="Times New Roman"/>
          <w:sz w:val="24"/>
          <w:szCs w:val="24"/>
        </w:rPr>
        <w:t xml:space="preserve"> – </w:t>
      </w:r>
      <w:r w:rsidR="00867551">
        <w:rPr>
          <w:rFonts w:ascii="Times New Roman" w:eastAsiaTheme="minorEastAsia" w:hAnsi="Times New Roman" w:cs="Times New Roman"/>
          <w:sz w:val="24"/>
          <w:szCs w:val="24"/>
        </w:rPr>
        <w:t>4.13) for HIV-positive, 1.58</w:t>
      </w:r>
      <w:r w:rsidR="00F45FFE">
        <w:rPr>
          <w:rFonts w:ascii="Times New Roman" w:eastAsiaTheme="minorEastAsia" w:hAnsi="Times New Roman" w:cs="Times New Roman"/>
          <w:sz w:val="24"/>
          <w:szCs w:val="24"/>
        </w:rPr>
        <w:t xml:space="preserve"> </w:t>
      </w:r>
      <w:r w:rsidR="00867551">
        <w:rPr>
          <w:rFonts w:ascii="Times New Roman" w:eastAsiaTheme="minorEastAsia" w:hAnsi="Times New Roman" w:cs="Times New Roman"/>
          <w:sz w:val="24"/>
          <w:szCs w:val="24"/>
        </w:rPr>
        <w:t>(0.43</w:t>
      </w:r>
      <w:r w:rsidR="009A021D">
        <w:rPr>
          <w:rFonts w:ascii="Times New Roman" w:eastAsiaTheme="minorEastAsia" w:hAnsi="Times New Roman" w:cs="Times New Roman"/>
          <w:sz w:val="24"/>
          <w:szCs w:val="24"/>
        </w:rPr>
        <w:t xml:space="preserve"> – </w:t>
      </w:r>
      <w:r w:rsidR="00867551">
        <w:rPr>
          <w:rFonts w:ascii="Times New Roman" w:eastAsiaTheme="minorEastAsia" w:hAnsi="Times New Roman" w:cs="Times New Roman"/>
          <w:sz w:val="24"/>
          <w:szCs w:val="24"/>
        </w:rPr>
        <w:t>5.44) for female, and 1.90</w:t>
      </w:r>
      <w:r w:rsidR="00F45FFE">
        <w:rPr>
          <w:rFonts w:ascii="Times New Roman" w:eastAsiaTheme="minorEastAsia" w:hAnsi="Times New Roman" w:cs="Times New Roman"/>
          <w:sz w:val="24"/>
          <w:szCs w:val="24"/>
        </w:rPr>
        <w:t xml:space="preserve"> </w:t>
      </w:r>
      <w:r w:rsidR="00867551">
        <w:rPr>
          <w:rFonts w:ascii="Times New Roman" w:eastAsiaTheme="minorEastAsia" w:hAnsi="Times New Roman" w:cs="Times New Roman"/>
          <w:sz w:val="24"/>
          <w:szCs w:val="24"/>
        </w:rPr>
        <w:t>(0.38</w:t>
      </w:r>
      <w:r w:rsidR="009A021D">
        <w:rPr>
          <w:rFonts w:ascii="Times New Roman" w:eastAsiaTheme="minorEastAsia" w:hAnsi="Times New Roman" w:cs="Times New Roman"/>
          <w:sz w:val="24"/>
          <w:szCs w:val="24"/>
        </w:rPr>
        <w:t xml:space="preserve"> – </w:t>
      </w:r>
      <w:r w:rsidR="00867551">
        <w:rPr>
          <w:rFonts w:ascii="Times New Roman" w:eastAsiaTheme="minorEastAsia" w:hAnsi="Times New Roman" w:cs="Times New Roman"/>
          <w:sz w:val="24"/>
          <w:szCs w:val="24"/>
        </w:rPr>
        <w:t>19</w:t>
      </w:r>
      <w:r w:rsidR="00C446D0">
        <w:rPr>
          <w:rFonts w:ascii="Times New Roman" w:eastAsiaTheme="minorEastAsia" w:hAnsi="Times New Roman" w:cs="Times New Roman"/>
          <w:sz w:val="24"/>
          <w:szCs w:val="24"/>
        </w:rPr>
        <w:t xml:space="preserve">.36) for age </w:t>
      </w:r>
      <w:r w:rsidR="00C446D0" w:rsidRPr="00451819">
        <w:rPr>
          <w:rFonts w:ascii="Times New Roman" w:eastAsiaTheme="minorEastAsia" w:hAnsi="Times New Roman" w:cs="Times New Roman"/>
          <w:sz w:val="24"/>
          <w:szCs w:val="24"/>
        </w:rPr>
        <w:t>≥</w:t>
      </w:r>
      <w:r w:rsidR="00A64BA9">
        <w:rPr>
          <w:rFonts w:ascii="Times New Roman" w:eastAsiaTheme="minorEastAsia" w:hAnsi="Times New Roman" w:cs="Times New Roman"/>
          <w:sz w:val="24"/>
          <w:szCs w:val="24"/>
        </w:rPr>
        <w:t xml:space="preserve"> 25; estimates at Looser were identical and at Tighter were qualitatively unchanged. Maximum-likelihood estimates moved most for age coefficient (MLE OR 2.74</w:t>
      </w:r>
      <w:r w:rsidR="003264C5">
        <w:rPr>
          <w:rFonts w:ascii="Times New Roman" w:eastAsiaTheme="minorEastAsia" w:hAnsi="Times New Roman" w:cs="Times New Roman"/>
          <w:sz w:val="24"/>
          <w:szCs w:val="24"/>
        </w:rPr>
        <w:t xml:space="preserve">, 0.44 – 53.81), consistent with the sparse-cell-driven inflation that the </w:t>
      </w:r>
      <w:r w:rsidR="003264C5">
        <w:rPr>
          <w:rFonts w:ascii="Times New Roman" w:eastAsiaTheme="minorEastAsia" w:hAnsi="Times New Roman" w:cs="Times New Roman"/>
          <w:sz w:val="24"/>
          <w:szCs w:val="24"/>
        </w:rPr>
        <w:lastRenderedPageBreak/>
        <w:t xml:space="preserve">Firth penalty was specified to mitigate. </w:t>
      </w:r>
      <w:r w:rsidR="00B95CFB">
        <w:rPr>
          <w:rFonts w:ascii="Times New Roman" w:eastAsiaTheme="minorEastAsia" w:hAnsi="Times New Roman" w:cs="Times New Roman"/>
          <w:sz w:val="24"/>
          <w:szCs w:val="24"/>
        </w:rPr>
        <w:t>Confidence intervals were wide and uniformly compatible with no association in either direction; results are reported as descriptive and hypothesis-generating only (</w:t>
      </w:r>
      <w:r w:rsidR="00B95CFB">
        <w:rPr>
          <w:rFonts w:ascii="Times New Roman" w:eastAsiaTheme="minorEastAsia" w:hAnsi="Times New Roman" w:cs="Times New Roman"/>
          <w:b/>
          <w:bCs/>
          <w:sz w:val="24"/>
          <w:szCs w:val="24"/>
        </w:rPr>
        <w:t>Table 3</w:t>
      </w:r>
      <w:r w:rsidR="00B95CFB">
        <w:rPr>
          <w:rFonts w:ascii="Times New Roman" w:eastAsiaTheme="minorEastAsia" w:hAnsi="Times New Roman" w:cs="Times New Roman"/>
          <w:sz w:val="24"/>
          <w:szCs w:val="24"/>
        </w:rPr>
        <w:t>).</w:t>
      </w:r>
      <w:r w:rsidR="007335A6">
        <w:rPr>
          <w:rFonts w:ascii="Times New Roman" w:eastAsiaTheme="minorEastAsia" w:hAnsi="Times New Roman" w:cs="Times New Roman"/>
          <w:sz w:val="24"/>
          <w:szCs w:val="24"/>
        </w:rPr>
        <w:t xml:space="preserve"> </w:t>
      </w:r>
      <w:r w:rsidR="00B95CFB">
        <w:rPr>
          <w:rFonts w:ascii="Times New Roman" w:eastAsiaTheme="minorEastAsia" w:hAnsi="Times New Roman" w:cs="Times New Roman"/>
          <w:sz w:val="24"/>
          <w:szCs w:val="24"/>
        </w:rPr>
        <w:t xml:space="preserve"> </w:t>
      </w:r>
    </w:p>
    <w:p w14:paraId="446EC3F0" w14:textId="4EECB06A" w:rsidR="00B0768C" w:rsidRDefault="00B0768C" w:rsidP="006427C1">
      <w:pPr>
        <w:spacing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Persistence of detected variants in longitudinal samples</w:t>
      </w:r>
    </w:p>
    <w:p w14:paraId="3DA8EA78" w14:textId="23C5B932" w:rsidR="00B0768C" w:rsidRDefault="00B0768C" w:rsidP="006427C1">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Pr>
          <w:rFonts w:ascii="Times New Roman" w:eastAsiaTheme="minorEastAsia" w:hAnsi="Times New Roman" w:cs="Times New Roman"/>
          <w:sz w:val="24"/>
          <w:szCs w:val="24"/>
        </w:rPr>
        <w:t>Of the 95 patients with an M0 specimen, 36 also contributed at least one post-baseline sample and were eligible for longitudinal description (33 HIV-negative, 3 HIV-positive</w:t>
      </w:r>
      <w:r w:rsidR="00C95BE4">
        <w:rPr>
          <w:rFonts w:ascii="Times New Roman" w:eastAsiaTheme="minorEastAsia" w:hAnsi="Times New Roman" w:cs="Times New Roman"/>
          <w:sz w:val="24"/>
          <w:szCs w:val="24"/>
        </w:rPr>
        <w:t>). A total of six baseline iSNVs were observed across these 36 patients under the Primary</w:t>
      </w:r>
      <w:r w:rsidR="001D1E15">
        <w:rPr>
          <w:rFonts w:ascii="Times New Roman" w:eastAsiaTheme="minorEastAsia" w:hAnsi="Times New Roman" w:cs="Times New Roman"/>
          <w:sz w:val="24"/>
          <w:szCs w:val="24"/>
        </w:rPr>
        <w:t xml:space="preserve"> tier, of which two persisted to a post-baseline visit; one patient carried any persistent</w:t>
      </w:r>
      <w:r w:rsidR="001558B6">
        <w:rPr>
          <w:rFonts w:ascii="Times New Roman" w:eastAsiaTheme="minorEastAsia" w:hAnsi="Times New Roman" w:cs="Times New Roman"/>
          <w:sz w:val="24"/>
          <w:szCs w:val="24"/>
        </w:rPr>
        <w:t xml:space="preserve"> iSNV (1/36, 2.8%). Trajectory categorization showed four M0-only and two M0 + M1-only iSNV </w:t>
      </w:r>
      <w:r w:rsidR="00674B38">
        <w:rPr>
          <w:rFonts w:ascii="Times New Roman" w:eastAsiaTheme="minorEastAsia" w:hAnsi="Times New Roman" w:cs="Times New Roman"/>
          <w:sz w:val="24"/>
          <w:szCs w:val="24"/>
        </w:rPr>
        <w:t>occurrences (</w:t>
      </w:r>
      <w:r w:rsidR="00674B38">
        <w:rPr>
          <w:rFonts w:ascii="Times New Roman" w:eastAsiaTheme="minorEastAsia" w:hAnsi="Times New Roman" w:cs="Times New Roman"/>
          <w:b/>
          <w:bCs/>
          <w:sz w:val="24"/>
          <w:szCs w:val="24"/>
        </w:rPr>
        <w:t>Supplementary Tables S</w:t>
      </w:r>
      <w:r w:rsidR="00BC2BBB">
        <w:rPr>
          <w:rFonts w:ascii="Times New Roman" w:eastAsiaTheme="minorEastAsia" w:hAnsi="Times New Roman" w:cs="Times New Roman"/>
          <w:b/>
          <w:bCs/>
          <w:sz w:val="24"/>
          <w:szCs w:val="24"/>
        </w:rPr>
        <w:t>2</w:t>
      </w:r>
      <w:r w:rsidR="00674B38">
        <w:rPr>
          <w:rFonts w:ascii="Times New Roman" w:eastAsiaTheme="minorEastAsia" w:hAnsi="Times New Roman" w:cs="Times New Roman"/>
          <w:b/>
          <w:bCs/>
          <w:sz w:val="24"/>
          <w:szCs w:val="24"/>
        </w:rPr>
        <w:t>-S</w:t>
      </w:r>
      <w:r w:rsidR="00BC2BBB">
        <w:rPr>
          <w:rFonts w:ascii="Times New Roman" w:eastAsiaTheme="minorEastAsia" w:hAnsi="Times New Roman" w:cs="Times New Roman"/>
          <w:b/>
          <w:bCs/>
          <w:sz w:val="24"/>
          <w:szCs w:val="24"/>
        </w:rPr>
        <w:t>3</w:t>
      </w:r>
      <w:r w:rsidR="00674B38">
        <w:rPr>
          <w:rFonts w:ascii="Times New Roman" w:eastAsiaTheme="minorEastAsia" w:hAnsi="Times New Roman" w:cs="Times New Roman"/>
          <w:sz w:val="24"/>
          <w:szCs w:val="24"/>
        </w:rPr>
        <w:t xml:space="preserve">); persistence stratified by minor allele frequency at baseline was concentrated in the upper MAF bin (2/3 in [0.25, 0.45] vs 0/3 in [0.02, 0.05); </w:t>
      </w:r>
      <w:r w:rsidR="00674B38">
        <w:rPr>
          <w:rFonts w:ascii="Times New Roman" w:eastAsiaTheme="minorEastAsia" w:hAnsi="Times New Roman" w:cs="Times New Roman"/>
          <w:b/>
          <w:bCs/>
          <w:sz w:val="24"/>
          <w:szCs w:val="24"/>
        </w:rPr>
        <w:t>Supplementary Table S</w:t>
      </w:r>
      <w:r w:rsidR="00BC2BBB">
        <w:rPr>
          <w:rFonts w:ascii="Times New Roman" w:eastAsiaTheme="minorEastAsia" w:hAnsi="Times New Roman" w:cs="Times New Roman"/>
          <w:b/>
          <w:bCs/>
          <w:sz w:val="24"/>
          <w:szCs w:val="24"/>
        </w:rPr>
        <w:t>4</w:t>
      </w:r>
      <w:r w:rsidR="00674B38">
        <w:rPr>
          <w:rFonts w:ascii="Times New Roman" w:eastAsiaTheme="minorEastAsia" w:hAnsi="Times New Roman" w:cs="Times New Roman"/>
          <w:sz w:val="24"/>
          <w:szCs w:val="24"/>
        </w:rPr>
        <w:t xml:space="preserve">). </w:t>
      </w:r>
      <w:r w:rsidR="00F1412A">
        <w:rPr>
          <w:rFonts w:ascii="Times New Roman" w:eastAsiaTheme="minorEastAsia" w:hAnsi="Times New Roman" w:cs="Times New Roman"/>
          <w:sz w:val="24"/>
          <w:szCs w:val="24"/>
        </w:rPr>
        <w:t>Given the small number of detected variants in the longitudinal sub-cohort, these trajectories are reported as an illustrative case-series rather than as estimates of persistence rates (</w:t>
      </w:r>
      <w:r w:rsidR="00F1412A">
        <w:rPr>
          <w:rFonts w:ascii="Times New Roman" w:eastAsiaTheme="minorEastAsia" w:hAnsi="Times New Roman" w:cs="Times New Roman"/>
          <w:b/>
          <w:bCs/>
          <w:sz w:val="24"/>
          <w:szCs w:val="24"/>
        </w:rPr>
        <w:t>Figure 2</w:t>
      </w:r>
      <w:r w:rsidR="00F1412A">
        <w:rPr>
          <w:rFonts w:ascii="Times New Roman" w:eastAsiaTheme="minorEastAsia" w:hAnsi="Times New Roman" w:cs="Times New Roman"/>
          <w:sz w:val="24"/>
          <w:szCs w:val="24"/>
        </w:rPr>
        <w:t xml:space="preserve">). </w:t>
      </w:r>
    </w:p>
    <w:p w14:paraId="3C523879" w14:textId="6CC5702C" w:rsidR="002B1B2F" w:rsidRDefault="002B1B2F" w:rsidP="006427C1">
      <w:pPr>
        <w:spacing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Discussion</w:t>
      </w:r>
    </w:p>
    <w:p w14:paraId="446C2DA4" w14:textId="5AE4F8E5" w:rsidR="000A049D" w:rsidRDefault="000A049D" w:rsidP="006427C1">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Pr>
          <w:rFonts w:ascii="Times New Roman" w:eastAsiaTheme="minorEastAsia" w:hAnsi="Times New Roman" w:cs="Times New Roman"/>
          <w:sz w:val="24"/>
          <w:szCs w:val="24"/>
        </w:rPr>
        <w:t xml:space="preserve">The calibration framework presented here establishes within-patient replicate concordance as an empirical anchor for iSNV detection thresholds in </w:t>
      </w:r>
      <w:r>
        <w:rPr>
          <w:rFonts w:ascii="Times New Roman" w:eastAsiaTheme="minorEastAsia" w:hAnsi="Times New Roman" w:cs="Times New Roman"/>
          <w:i/>
          <w:iCs/>
          <w:sz w:val="24"/>
          <w:szCs w:val="24"/>
        </w:rPr>
        <w:t>M. tuberculosis</w:t>
      </w:r>
      <w:r>
        <w:rPr>
          <w:rFonts w:ascii="Times New Roman" w:eastAsiaTheme="minorEastAsia" w:hAnsi="Times New Roman" w:cs="Times New Roman"/>
          <w:sz w:val="24"/>
          <w:szCs w:val="24"/>
        </w:rPr>
        <w:t xml:space="preserve"> sequencing</w:t>
      </w:r>
      <w:r w:rsidR="00CC70D1">
        <w:rPr>
          <w:rFonts w:ascii="Times New Roman" w:eastAsiaTheme="minorEastAsia" w:hAnsi="Times New Roman" w:cs="Times New Roman"/>
          <w:sz w:val="24"/>
          <w:szCs w:val="24"/>
        </w:rPr>
        <w:t>, replacing inherited or single-metric cutoffs with a multicriteria, jointly searched, and stability-quantified rule. Three properties distinguish the approach from existing TB practice</w:t>
      </w:r>
      <w:r w:rsidR="00E926EF">
        <w:rPr>
          <w:rFonts w:ascii="Times New Roman" w:eastAsiaTheme="minorEastAsia" w:hAnsi="Times New Roman" w:cs="Times New Roman"/>
          <w:sz w:val="24"/>
          <w:szCs w:val="24"/>
        </w:rPr>
        <w:t>. First, the threshold is anchored to a property of the data using within-patient agreement across replicates</w:t>
      </w:r>
      <w:r w:rsidR="001004AB">
        <w:rPr>
          <w:rFonts w:ascii="Times New Roman" w:eastAsiaTheme="minorEastAsia" w:hAnsi="Times New Roman" w:cs="Times New Roman"/>
          <w:sz w:val="24"/>
          <w:szCs w:val="24"/>
        </w:rPr>
        <w:t>, rather than to an external standard such as Sanger validation</w:t>
      </w:r>
      <w:r w:rsidR="004B268F">
        <w:rPr>
          <w:rFonts w:ascii="Times New Roman" w:eastAsiaTheme="minorEastAsia" w:hAnsi="Times New Roman" w:cs="Times New Roman"/>
          <w:sz w:val="24"/>
          <w:szCs w:val="24"/>
        </w:rPr>
        <w:fldChar w:fldCharType="begin"/>
      </w:r>
      <w:r w:rsidR="004B268F">
        <w:rPr>
          <w:rFonts w:ascii="Times New Roman" w:eastAsiaTheme="minorEastAsia" w:hAnsi="Times New Roman" w:cs="Times New Roman"/>
          <w:sz w:val="24"/>
          <w:szCs w:val="24"/>
        </w:rPr>
        <w:instrText xml:space="preserve"> ADDIN ZOTERO_ITEM CSL_CITATION {"citationID":"urZtlaYc","properties":{"unsorted":false,"formattedCitation":"\\super 4\\nosupersub{}","plainCitation":"4","noteIndex":0},"citationItems":[{"id":189,"uris":["http://zotero.org/users/56896/items/H8PWFCZF"],"itemData":{"id":189,"type":"article-journal","abstract":"Background\nWhole genome sequencing has revolutionised the interrogation of mycobacterial genomes. Recent studies have reported conflicting findings on the genomic stability of Mycobacterium tuberculosis during the evolution of drug resistance. In an age where whole genome sequencing is increasingly relied upon for defining the structure of bacterial genomes, it is important to investigate the reliability of next generation sequencing to identify clonal variants present in a minor percentage of the population. This study aimed to define a reliable cut-off for identification of low frequency sequence variants and to subsequently investigate genetic heterogeneity and the evolution of drug resistance in M. tuberculosis. \n\nMethods\nGenomic DNA was isolated from single colonies from 14 rifampicin mono-resistant M. tuberculosis isolates, as well as the primary cultures and follow up MDR cultures from two of these patients. The whole genomes of the M. tuberculosis isolates were sequenced using either the Illumina MiSeq or Illumina HiSeq platforms. Sequences were analysed with an in-house pipeline.\n\nResults\nUsing next-generation sequencing in combination with Sanger sequencing and statistical analysis we defined a read frequency cut-off of 30 % to identify low frequency M. tuberculosis variants with high confidence. Using this cut-off we demonstrated a high rate of genetic diversity between single colonies isolated from one population, showing that by using the current sequencing technology, single colonies are not a true reflection of the genetic diversity within a whole population and vice versa. We further showed that numerous heterogeneous variants emerge and then disappear during the evolution of isoniazid resistance within individual patients. Our findings allowed us to formulate a model for the selective bottleneck which occurs during the course of infection, acting as a genomic purification event.\n\nConclusions\nOur study demonstrated true levels of genetic diversity within an M. tuberculosis population and showed that genetic diversity may be re-defined when a selective pressure, such as drug exposure, is imposed on M. tuberculosis populations during the course of infection. This suggests that the genome of M. tuberculosis is more dynamic than previously thought, suggesting preparedness to respond to a changing environment.\n\nElectronic supplementary material\nThe online version of this article (doi:10.1186/s12864-015-2067-2) contains supplementary material, which is available to authorized users.","container-title":"BMC Genomics","DOI":"10.1186/s12864-015-2067-2","ISSN":"1471-2164","journalAbbreviation":"BMC Genomics","PMID":"26496891","PMCID":"PMC4619333","source":"PubMed Central","title":"Whole genome sequencing reveals genomic heterogeneity and antibiotic purification in Mycobacterium tuberculosis isolates","URL":"https://www.ncbi.nlm.nih.gov/pmc/articles/PMC4619333/","volume":"16","author":[{"family":"Black","given":"PA"},{"family":"Vos","given":"M.","non-dropping-particle":"de"},{"family":"Louw","given":"GE"},{"family":"Merwe","given":"RG","non-dropping-particle":"van der"},{"family":"Dippenaar","given":"A."},{"family":"Streicher","given":"EM"},{"family":"Abdallah","given":"AM"},{"family":"Sampson","given":"SL"},{"family":"Victor","given":"TC"},{"family":"Dolby","given":"T."},{"family":"Simpson","given":"JA"},{"family":"Helden","given":"PD","non-dropping-particle":"van"},{"family":"Warren","given":"RM"},{"family":"Pain","given":"A."}],"accessed":{"date-parts":[["2019",7,27]]},"issued":{"date-parts":[["2015",10,24]]}}}],"schema":"https://github.com/citation-style-language/schema/raw/master/csl-citation.json"} </w:instrText>
      </w:r>
      <w:r w:rsidR="004B268F">
        <w:rPr>
          <w:rFonts w:ascii="Times New Roman" w:eastAsiaTheme="minorEastAsia" w:hAnsi="Times New Roman" w:cs="Times New Roman"/>
          <w:sz w:val="24"/>
          <w:szCs w:val="24"/>
        </w:rPr>
        <w:fldChar w:fldCharType="separate"/>
      </w:r>
      <w:r w:rsidR="004B268F" w:rsidRPr="004B268F">
        <w:rPr>
          <w:rFonts w:ascii="Times New Roman" w:hAnsi="Times New Roman" w:cs="Times New Roman"/>
          <w:kern w:val="0"/>
          <w:sz w:val="24"/>
          <w:szCs w:val="24"/>
          <w:vertAlign w:val="superscript"/>
        </w:rPr>
        <w:t>4</w:t>
      </w:r>
      <w:r w:rsidR="004B268F">
        <w:rPr>
          <w:rFonts w:ascii="Times New Roman" w:eastAsiaTheme="minorEastAsia" w:hAnsi="Times New Roman" w:cs="Times New Roman"/>
          <w:sz w:val="24"/>
          <w:szCs w:val="24"/>
        </w:rPr>
        <w:fldChar w:fldCharType="end"/>
      </w:r>
      <w:r w:rsidR="001004AB">
        <w:rPr>
          <w:rFonts w:ascii="Times New Roman" w:eastAsiaTheme="minorEastAsia" w:hAnsi="Times New Roman" w:cs="Times New Roman"/>
          <w:sz w:val="24"/>
          <w:szCs w:val="24"/>
        </w:rPr>
        <w:t xml:space="preserve">, </w:t>
      </w:r>
      <w:r w:rsidR="001004AB">
        <w:rPr>
          <w:rFonts w:ascii="Times New Roman" w:eastAsiaTheme="minorEastAsia" w:hAnsi="Times New Roman" w:cs="Times New Roman"/>
          <w:i/>
          <w:iCs/>
          <w:sz w:val="24"/>
          <w:szCs w:val="24"/>
        </w:rPr>
        <w:t>in vitro</w:t>
      </w:r>
      <w:r w:rsidR="001004AB">
        <w:rPr>
          <w:rFonts w:ascii="Times New Roman" w:eastAsiaTheme="minorEastAsia" w:hAnsi="Times New Roman" w:cs="Times New Roman"/>
          <w:sz w:val="24"/>
          <w:szCs w:val="24"/>
        </w:rPr>
        <w:t xml:space="preserve"> mixed-strain </w:t>
      </w:r>
      <w:r w:rsidR="00C24312">
        <w:rPr>
          <w:rFonts w:ascii="Times New Roman" w:eastAsiaTheme="minorEastAsia" w:hAnsi="Times New Roman" w:cs="Times New Roman"/>
          <w:sz w:val="24"/>
          <w:szCs w:val="24"/>
        </w:rPr>
        <w:t xml:space="preserve">libraries </w:t>
      </w:r>
      <w:r w:rsidR="004B268F">
        <w:rPr>
          <w:rFonts w:ascii="Times New Roman" w:eastAsiaTheme="minorEastAsia" w:hAnsi="Times New Roman" w:cs="Times New Roman"/>
          <w:sz w:val="24"/>
          <w:szCs w:val="24"/>
        </w:rPr>
        <w:fldChar w:fldCharType="begin"/>
      </w:r>
      <w:r w:rsidR="00731710">
        <w:rPr>
          <w:rFonts w:ascii="Times New Roman" w:eastAsiaTheme="minorEastAsia" w:hAnsi="Times New Roman" w:cs="Times New Roman"/>
          <w:sz w:val="24"/>
          <w:szCs w:val="24"/>
        </w:rPr>
        <w:instrText xml:space="preserve"> ADDIN ZOTERO_ITEM CSL_CITATION {"citationID":"yFkpRquI","properties":{"unsorted":false,"formattedCitation":"\\super 5\\nosupersub{}","plainCitation":"5","noteIndex":0},"citationItems":[{"id":2197,"uris":["http://zotero.org/users/56896/items/7NI3VGXB"],"itemData":{"id":2197,"type":"article-journal","abstract":"Mixed, polyclonal Mycobacterium tuberculosis infection occurs in natural populations. Developing an effective method for detecting such cases is important in measuring the success of treatment and reconstruction of transmission between patients. Using whole genome sequence (WGS) data, we assess two methods for detecting mixed infection: (i) a combination of the number of heterozygous sites and the proportion of heterozygous sites to total SNPs, and (ii) Bayesian model-based clustering of allele frequencies from sequencing reads at heterozygous sites.","container-title":"BMC Genomics","DOI":"10.1186/s12864-018-4988-z","ISSN":"1471-2164","issue":"1","journalAbbreviation":"BMC Genomics","page":"613","source":"BioMed Central","title":"Identifying mixed Mycobacterium tuberculosis infections from whole genome sequence data","volume":"19","author":[{"family":"Sobkowiak","given":"Benjamin"},{"family":"Glynn","given":"Judith R."},{"family":"Houben","given":"Rein M. G. J."},{"family":"Mallard","given":"Kim"},{"family":"Phelan","given":"Jody E."},{"family":"Guerra-Assunção","given":"José Afonso"},{"family":"Banda","given":"Louis"},{"family":"Mzembe","given":"Themba"},{"family":"Viveiros","given":"Miguel"},{"family":"McNerney","given":"Ruth"},{"family":"Parkhill","given":"Julian"},{"family":"Crampin","given":"Amelia C."},{"family":"Clark","given":"Taane G."}],"issued":{"date-parts":[["2018",8,14]]}}}],"schema":"https://github.com/citation-style-language/schema/raw/master/csl-citation.json"} </w:instrText>
      </w:r>
      <w:r w:rsidR="004B268F">
        <w:rPr>
          <w:rFonts w:ascii="Times New Roman" w:eastAsiaTheme="minorEastAsia" w:hAnsi="Times New Roman" w:cs="Times New Roman"/>
          <w:sz w:val="24"/>
          <w:szCs w:val="24"/>
        </w:rPr>
        <w:fldChar w:fldCharType="separate"/>
      </w:r>
      <w:r w:rsidR="00731710" w:rsidRPr="00731710">
        <w:rPr>
          <w:rFonts w:ascii="Times New Roman" w:hAnsi="Times New Roman" w:cs="Times New Roman"/>
          <w:kern w:val="0"/>
          <w:sz w:val="24"/>
          <w:szCs w:val="24"/>
          <w:vertAlign w:val="superscript"/>
        </w:rPr>
        <w:t>5</w:t>
      </w:r>
      <w:r w:rsidR="004B268F">
        <w:rPr>
          <w:rFonts w:ascii="Times New Roman" w:eastAsiaTheme="minorEastAsia" w:hAnsi="Times New Roman" w:cs="Times New Roman"/>
          <w:sz w:val="24"/>
          <w:szCs w:val="24"/>
        </w:rPr>
        <w:fldChar w:fldCharType="end"/>
      </w:r>
      <w:r w:rsidR="001004AB">
        <w:rPr>
          <w:rFonts w:ascii="Times New Roman" w:eastAsiaTheme="minorEastAsia" w:hAnsi="Times New Roman" w:cs="Times New Roman"/>
          <w:sz w:val="24"/>
          <w:szCs w:val="24"/>
        </w:rPr>
        <w:t xml:space="preserve">, or simulated </w:t>
      </w:r>
      <w:r w:rsidR="001C3D76">
        <w:rPr>
          <w:rFonts w:ascii="Times New Roman" w:eastAsiaTheme="minorEastAsia" w:hAnsi="Times New Roman" w:cs="Times New Roman"/>
          <w:sz w:val="24"/>
          <w:szCs w:val="24"/>
        </w:rPr>
        <w:t xml:space="preserve">reads </w:t>
      </w:r>
      <w:r w:rsidR="00731710">
        <w:rPr>
          <w:rFonts w:ascii="Times New Roman" w:eastAsiaTheme="minorEastAsia" w:hAnsi="Times New Roman" w:cs="Times New Roman"/>
          <w:sz w:val="24"/>
          <w:szCs w:val="24"/>
        </w:rPr>
        <w:fldChar w:fldCharType="begin"/>
      </w:r>
      <w:r w:rsidR="00731710">
        <w:rPr>
          <w:rFonts w:ascii="Times New Roman" w:eastAsiaTheme="minorEastAsia" w:hAnsi="Times New Roman" w:cs="Times New Roman"/>
          <w:sz w:val="24"/>
          <w:szCs w:val="24"/>
        </w:rPr>
        <w:instrText xml:space="preserve"> ADDIN ZOTERO_ITEM CSL_CITATION {"citationID":"aWtmh9hV","properties":{"unsorted":false,"formattedCitation":"\\super 6\\nosupersub{}","plainCitation":"6","noteIndex":0},"citationItems":[{"id":9822,"uris":["http://zotero.org/users/56896/items/EHY933K4"],"itemData":{"id":9822,"type":"article-journal","abstract":"The study of genetic minority variants is fundamental to the understanding of complex processes such as evolution, fitness, transmission, virulence, heteroresistance and drug tolerance in Mycobacterium tuberculosis (Mtb). We evaluated the performance of the variant calling tool LoFreq to detect de novo as well as drug resistance conferring minor variants in both in silico and clinical Mtb next generation sequencing (NGS) data. The in silico simulations demonstrated that LoFreq is a conservative variant caller with very high precision (≥96.7%) over the entire range of depth of coverage tested (30x to1000x), independent of the type and frequency of the minor variant. Sensitivity increased with increasing depth of coverage and increasing frequency of the variant, and was higher for calling insertion and deletion (indel) variants than for single nucleotide polymorphisms (SNP). The variant frequency limit of detection was 0.5% and 3% for indel and SNP minor variants, respectively. For serial isolates from a patient with DR-TB; LoFreq successfully identified all minor Mtb variants in the Rv0678 gene (allele frequency as low as 3.22% according to targeted deep sequencing) in whole genome sequencing data (median coverage of 62X). In conclusion, LoFreq can successfully detect minor variant populations in Mtb NGS data, thus limiting the need for filtering of possible false positive variants due to sequencing error. The observed performance statistics can be used to determine the limit of detection in existing whole genome sequencing Mtb data and guide the required depth of future studies that aim to investigate the presence of minor variants.","container-title":"Briefings in Bioinformatics","DOI":"10.1093/bib/bbab541","ISSN":"1477-4054","issue":"1","journalAbbreviation":"Brief Bioinform","page":"bbab541","source":"Silverchair","title":"Detection of minor variants in Mycobacterium tuberculosis whole genome sequencing data","volume":"23","author":[{"family":"Goossens","given":"Sander N"},{"family":"Heupink","given":"Tim H"},{"family":"De Vos","given":"Elise"},{"family":"Dippenaar","given":"Anzaan"},{"family":"De Vos","given":"Margaretha"},{"family":"Warren","given":"Rob"},{"family":"Van Rie","given":"Annelies"}],"issued":{"date-parts":[["2022",1,1]]}}}],"schema":"https://github.com/citation-style-language/schema/raw/master/csl-citation.json"} </w:instrText>
      </w:r>
      <w:r w:rsidR="00731710">
        <w:rPr>
          <w:rFonts w:ascii="Times New Roman" w:eastAsiaTheme="minorEastAsia" w:hAnsi="Times New Roman" w:cs="Times New Roman"/>
          <w:sz w:val="24"/>
          <w:szCs w:val="24"/>
        </w:rPr>
        <w:fldChar w:fldCharType="separate"/>
      </w:r>
      <w:r w:rsidR="00731710" w:rsidRPr="00731710">
        <w:rPr>
          <w:rFonts w:ascii="Times New Roman" w:hAnsi="Times New Roman" w:cs="Times New Roman"/>
          <w:kern w:val="0"/>
          <w:sz w:val="24"/>
          <w:szCs w:val="24"/>
          <w:vertAlign w:val="superscript"/>
        </w:rPr>
        <w:t>6</w:t>
      </w:r>
      <w:r w:rsidR="00731710">
        <w:rPr>
          <w:rFonts w:ascii="Times New Roman" w:eastAsiaTheme="minorEastAsia" w:hAnsi="Times New Roman" w:cs="Times New Roman"/>
          <w:sz w:val="24"/>
          <w:szCs w:val="24"/>
        </w:rPr>
        <w:fldChar w:fldCharType="end"/>
      </w:r>
      <w:r w:rsidR="00F075E8">
        <w:rPr>
          <w:rFonts w:ascii="Times New Roman" w:eastAsiaTheme="minorEastAsia" w:hAnsi="Times New Roman" w:cs="Times New Roman"/>
          <w:sz w:val="24"/>
          <w:szCs w:val="24"/>
        </w:rPr>
        <w:t>. Second, the search operates jointly over dep</w:t>
      </w:r>
      <w:r w:rsidR="009D48BA">
        <w:rPr>
          <w:rFonts w:ascii="Times New Roman" w:eastAsiaTheme="minorEastAsia" w:hAnsi="Times New Roman" w:cs="Times New Roman"/>
          <w:sz w:val="24"/>
          <w:szCs w:val="24"/>
        </w:rPr>
        <w:t xml:space="preserve">th, alternate allele support, and </w:t>
      </w:r>
      <w:r w:rsidR="009D48BA">
        <w:rPr>
          <w:rFonts w:ascii="Times New Roman" w:eastAsiaTheme="minorEastAsia" w:hAnsi="Times New Roman" w:cs="Times New Roman"/>
          <w:sz w:val="24"/>
          <w:szCs w:val="24"/>
        </w:rPr>
        <w:lastRenderedPageBreak/>
        <w:t xml:space="preserve">minor allele frequency; tradeoffs along these axes are made explicit rather than collapsed into a single number. Third, the chosen cell is reported with bootstrap selection frequencies, so the stability of the calibration is itself part of the output rather than an unstated assumption. </w:t>
      </w:r>
    </w:p>
    <w:p w14:paraId="0391681C" w14:textId="7EF9E3C4" w:rsidR="007101C0" w:rsidRDefault="007101C0" w:rsidP="006427C1">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Three implications follow</w:t>
      </w:r>
      <w:r w:rsidR="00272E7D">
        <w:rPr>
          <w:rFonts w:ascii="Times New Roman" w:eastAsiaTheme="minorEastAsia" w:hAnsi="Times New Roman" w:cs="Times New Roman"/>
          <w:sz w:val="24"/>
          <w:szCs w:val="24"/>
        </w:rPr>
        <w:t xml:space="preserve"> from our </w:t>
      </w:r>
      <w:r w:rsidR="00A73FCB">
        <w:rPr>
          <w:rFonts w:ascii="Times New Roman" w:eastAsiaTheme="minorEastAsia" w:hAnsi="Times New Roman" w:cs="Times New Roman"/>
          <w:sz w:val="24"/>
          <w:szCs w:val="24"/>
        </w:rPr>
        <w:t>work</w:t>
      </w:r>
      <w:r w:rsidR="00272E7D">
        <w:rPr>
          <w:rFonts w:ascii="Times New Roman" w:eastAsiaTheme="minorEastAsia" w:hAnsi="Times New Roman" w:cs="Times New Roman"/>
          <w:sz w:val="24"/>
          <w:szCs w:val="24"/>
        </w:rPr>
        <w:t>. First, cross-study comparisons of within-host</w:t>
      </w:r>
      <w:r w:rsidR="00A73FCB">
        <w:rPr>
          <w:rFonts w:ascii="Times New Roman" w:eastAsiaTheme="minorEastAsia" w:hAnsi="Times New Roman" w:cs="Times New Roman"/>
          <w:sz w:val="24"/>
          <w:szCs w:val="24"/>
        </w:rPr>
        <w:t xml:space="preserve"> TB diversity become more tractable when thresholds are derived on a common, transparent basis</w:t>
      </w:r>
      <w:r w:rsidR="00C620DA">
        <w:rPr>
          <w:rFonts w:ascii="Times New Roman" w:eastAsiaTheme="minorEastAsia" w:hAnsi="Times New Roman" w:cs="Times New Roman"/>
          <w:sz w:val="24"/>
          <w:szCs w:val="24"/>
        </w:rPr>
        <w:fldChar w:fldCharType="begin"/>
      </w:r>
      <w:r w:rsidR="009F0583">
        <w:rPr>
          <w:rFonts w:ascii="Times New Roman" w:eastAsiaTheme="minorEastAsia" w:hAnsi="Times New Roman" w:cs="Times New Roman"/>
          <w:sz w:val="24"/>
          <w:szCs w:val="24"/>
        </w:rPr>
        <w:instrText xml:space="preserve"> ADDIN ZOTERO_ITEM CSL_CITATION {"citationID":"5qXwgBSG","properties":{"unsorted":false,"formattedCitation":"\\super 22\\nosupersub{}","plainCitation":"22","noteIndex":0},"citationItems":[{"id":13120,"uris":["http://zotero.org/users/56896/items/5UU9GMLR"],"itemData":{"id":13120,"type":"article-journal","abstract":"The Mycobacterium tuberculosis genome is more heterogenous and less genetically stable within the host than previously thought. Currently, only limited data exist on the within-host microevolution, diversity, and genetic stability of M. tuberculosis., The Mycobacterium tuberculosis genome is more heterogenous and less genetically stable within the host than previously thought. Currently, only limited data exist on the within-host microevolution, diversity, and genetic stability of M. tuberculosis. As a direct consequence, our ability to infer M. tuberculosis transmission chains and to understand the full complexity of drug resistance profiles in individual patients is limited. Furthermore, apart from the acquisition of certain drug resistance-conferring mutations, our knowledge on the function of genetic variants that emerge within a host and their phenotypic impact remains scarce. We performed a systematic literature review of whole-genome sequencing studies of serial and parallel isolates to summarize the knowledge on genetic diversity and within-host microevolution of M. tuberculosis. We identified genomic loci of within-host emerged variants found across multiple studies and determined their functional relevance. We discuss important remaining knowledge gaps and finally make suggestions on the way forward.","container-title":"Microbiology and Molecular Biology Reviews : MMBR","DOI":"10.1128/MMBR.00062-18","ISSN":"1092-2172","issue":"2","journalAbbreviation":"Microbiol Mol Biol Rev","page":"e00062-18","PMID":"30918049","PMCID":"PMC6684002","source":"PubMed Central","title":"Deciphering Within-Host Microevolution of Mycobacterium tuberculosis through Whole-Genome Sequencing: the Phenotypic Impact and Way Forward","title-short":"Deciphering Within-Host Microevolution of Mycobacterium tuberculosis through Whole-Genome Sequencing","volume":"83","author":[{"family":"Ley","given":"S. D."},{"family":"Vos","given":"M.","non-dropping-particle":"de"},{"family":"Van Rie","given":"A."},{"family":"Warren","given":"R. M."}],"issued":{"date-parts":[["2019",3,27]]}}}],"schema":"https://github.com/citation-style-language/schema/raw/master/csl-citation.json"} </w:instrText>
      </w:r>
      <w:r w:rsidR="00C620DA">
        <w:rPr>
          <w:rFonts w:ascii="Times New Roman" w:eastAsiaTheme="minorEastAsia" w:hAnsi="Times New Roman" w:cs="Times New Roman"/>
          <w:sz w:val="24"/>
          <w:szCs w:val="24"/>
        </w:rPr>
        <w:fldChar w:fldCharType="separate"/>
      </w:r>
      <w:r w:rsidR="009F0583" w:rsidRPr="009F0583">
        <w:rPr>
          <w:rFonts w:ascii="Times New Roman" w:hAnsi="Times New Roman" w:cs="Times New Roman"/>
          <w:kern w:val="0"/>
          <w:sz w:val="24"/>
          <w:szCs w:val="24"/>
          <w:vertAlign w:val="superscript"/>
        </w:rPr>
        <w:t>22</w:t>
      </w:r>
      <w:r w:rsidR="00C620DA">
        <w:rPr>
          <w:rFonts w:ascii="Times New Roman" w:eastAsiaTheme="minorEastAsia" w:hAnsi="Times New Roman" w:cs="Times New Roman"/>
          <w:sz w:val="24"/>
          <w:szCs w:val="24"/>
        </w:rPr>
        <w:fldChar w:fldCharType="end"/>
      </w:r>
      <w:r w:rsidR="00A73FCB">
        <w:rPr>
          <w:rFonts w:ascii="Times New Roman" w:eastAsiaTheme="minorEastAsia" w:hAnsi="Times New Roman" w:cs="Times New Roman"/>
          <w:sz w:val="24"/>
          <w:szCs w:val="24"/>
        </w:rPr>
        <w:t xml:space="preserve">. Second, the threshold becomes an auditable object: bootstrap stability, marginal axis-wise selection frequencies, and the sensitivity ladder are inspectable rather than implicit. </w:t>
      </w:r>
      <w:r w:rsidR="000332E8">
        <w:rPr>
          <w:rFonts w:ascii="Times New Roman" w:eastAsiaTheme="minorEastAsia" w:hAnsi="Times New Roman" w:cs="Times New Roman"/>
          <w:sz w:val="24"/>
          <w:szCs w:val="24"/>
        </w:rPr>
        <w:t xml:space="preserve">Third, the explicit Looser / Primary / Tighter tiers move sensitivity reporting from a </w:t>
      </w:r>
      <w:r w:rsidR="000332E8">
        <w:rPr>
          <w:rFonts w:ascii="Times New Roman" w:eastAsiaTheme="minorEastAsia" w:hAnsi="Times New Roman" w:cs="Times New Roman"/>
          <w:i/>
          <w:iCs/>
          <w:sz w:val="24"/>
          <w:szCs w:val="24"/>
        </w:rPr>
        <w:t>post hoc</w:t>
      </w:r>
      <w:r w:rsidR="000332E8">
        <w:rPr>
          <w:rFonts w:ascii="Times New Roman" w:eastAsiaTheme="minorEastAsia" w:hAnsi="Times New Roman" w:cs="Times New Roman"/>
          <w:sz w:val="24"/>
          <w:szCs w:val="24"/>
        </w:rPr>
        <w:t xml:space="preserve"> check to a structural feature of the analysis, allowing claims that depend on threshold choice to be displayed across the ladder. The principle of replicate concordance as a calibration anchor is platform and pathogen agnostic, and transfers to any within-host context where multiple specimens per host are available. </w:t>
      </w:r>
    </w:p>
    <w:p w14:paraId="663FAC6F" w14:textId="02610D71" w:rsidR="000332E8" w:rsidRDefault="000332E8" w:rsidP="006427C1">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The application of the calibrated rule to the Ghana cohort is best read as a demonstration of the framework rather than a substantive epidemiological finding</w:t>
      </w:r>
      <w:r w:rsidR="007664F8">
        <w:rPr>
          <w:rFonts w:ascii="Times New Roman" w:eastAsiaTheme="minorEastAsia" w:hAnsi="Times New Roman" w:cs="Times New Roman"/>
          <w:sz w:val="24"/>
          <w:szCs w:val="24"/>
        </w:rPr>
        <w:t xml:space="preserve">. </w:t>
      </w:r>
      <w:r w:rsidR="00A556BB">
        <w:rPr>
          <w:rFonts w:ascii="Times New Roman" w:eastAsiaTheme="minorEastAsia" w:hAnsi="Times New Roman" w:cs="Times New Roman"/>
          <w:sz w:val="24"/>
          <w:szCs w:val="24"/>
        </w:rPr>
        <w:t>The depth-concordance diagnostic</w:t>
      </w:r>
      <w:r w:rsidR="007D1019">
        <w:rPr>
          <w:rFonts w:ascii="Times New Roman" w:eastAsiaTheme="minorEastAsia" w:hAnsi="Times New Roman" w:cs="Times New Roman"/>
          <w:sz w:val="24"/>
          <w:szCs w:val="24"/>
        </w:rPr>
        <w:t>,</w:t>
      </w:r>
      <w:r w:rsidR="00A556BB">
        <w:rPr>
          <w:rFonts w:ascii="Times New Roman" w:eastAsiaTheme="minorEastAsia" w:hAnsi="Times New Roman" w:cs="Times New Roman"/>
          <w:sz w:val="24"/>
          <w:szCs w:val="24"/>
        </w:rPr>
        <w:t xml:space="preserve"> showing a flat both-zero slope and a positive </w:t>
      </w:r>
      <w:r w:rsidR="007D1019">
        <w:rPr>
          <w:rFonts w:ascii="Times New Roman" w:eastAsiaTheme="minorEastAsia" w:hAnsi="Times New Roman" w:cs="Times New Roman"/>
          <w:sz w:val="24"/>
          <w:szCs w:val="24"/>
        </w:rPr>
        <w:t>Jaccard slope where evaluable, is consistent with the expected behavior under a calibrated regime</w:t>
      </w:r>
      <w:r w:rsidR="00D51DBB">
        <w:rPr>
          <w:rFonts w:ascii="Times New Roman" w:eastAsiaTheme="minorEastAsia" w:hAnsi="Times New Roman" w:cs="Times New Roman"/>
          <w:sz w:val="24"/>
          <w:szCs w:val="24"/>
        </w:rPr>
        <w:t>: detection at the patient level is governed by the threshold rather than by coverage, while concordance among detected events is refined by depth. Detectable within-host diversity at the Primary tier was modest, with no detectable association with HIV status, sex, or older than 25 age dichot</w:t>
      </w:r>
      <w:r w:rsidR="00210C09">
        <w:rPr>
          <w:rFonts w:ascii="Times New Roman" w:eastAsiaTheme="minorEastAsia" w:hAnsi="Times New Roman" w:cs="Times New Roman"/>
          <w:sz w:val="24"/>
          <w:szCs w:val="24"/>
        </w:rPr>
        <w:t xml:space="preserve">omy in this descriptive analysis. Longitudinal persistence was rare and is reported as an illustrative case-series. </w:t>
      </w:r>
    </w:p>
    <w:p w14:paraId="718D06FC" w14:textId="08318B5B" w:rsidR="002B7C78" w:rsidRDefault="00210C09" w:rsidP="002B7C78">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2B7C78">
        <w:rPr>
          <w:rFonts w:ascii="Times New Roman" w:eastAsiaTheme="minorEastAsia" w:hAnsi="Times New Roman" w:cs="Times New Roman"/>
          <w:sz w:val="24"/>
          <w:szCs w:val="24"/>
        </w:rPr>
        <w:t>The calibration method has some limits. First, the reported prevalence is detectable diversity under the calibrated rule, not biological prevalence</w:t>
      </w:r>
      <w:r w:rsidR="005D4326">
        <w:rPr>
          <w:rFonts w:ascii="Times New Roman" w:eastAsiaTheme="minorEastAsia" w:hAnsi="Times New Roman" w:cs="Times New Roman"/>
          <w:sz w:val="24"/>
          <w:szCs w:val="24"/>
        </w:rPr>
        <w:t xml:space="preserve">. Second, </w:t>
      </w:r>
      <w:r w:rsidR="002B7C78">
        <w:rPr>
          <w:rFonts w:ascii="Times New Roman" w:eastAsiaTheme="minorEastAsia" w:hAnsi="Times New Roman" w:cs="Times New Roman"/>
          <w:sz w:val="24"/>
          <w:szCs w:val="24"/>
        </w:rPr>
        <w:t xml:space="preserve">the calibration is internally referenced and not </w:t>
      </w:r>
      <w:r w:rsidR="005D4326">
        <w:rPr>
          <w:rFonts w:ascii="Times New Roman" w:eastAsiaTheme="minorEastAsia" w:hAnsi="Times New Roman" w:cs="Times New Roman"/>
          <w:sz w:val="24"/>
          <w:szCs w:val="24"/>
        </w:rPr>
        <w:t xml:space="preserve">externally validated; third, PE/PPE loci, where alignment is unreliable but </w:t>
      </w:r>
      <w:r w:rsidR="005D4326">
        <w:rPr>
          <w:rFonts w:ascii="Times New Roman" w:eastAsiaTheme="minorEastAsia" w:hAnsi="Times New Roman" w:cs="Times New Roman"/>
          <w:sz w:val="24"/>
          <w:szCs w:val="24"/>
        </w:rPr>
        <w:lastRenderedPageBreak/>
        <w:t>biological signal may be present</w:t>
      </w:r>
      <w:r w:rsidR="00AF2D9B">
        <w:rPr>
          <w:rFonts w:ascii="Times New Roman" w:eastAsiaTheme="minorEastAsia" w:hAnsi="Times New Roman" w:cs="Times New Roman"/>
          <w:sz w:val="24"/>
          <w:szCs w:val="24"/>
        </w:rPr>
        <w:fldChar w:fldCharType="begin"/>
      </w:r>
      <w:r w:rsidR="00DB5BDA">
        <w:rPr>
          <w:rFonts w:ascii="Times New Roman" w:eastAsiaTheme="minorEastAsia" w:hAnsi="Times New Roman" w:cs="Times New Roman"/>
          <w:sz w:val="24"/>
          <w:szCs w:val="24"/>
        </w:rPr>
        <w:instrText xml:space="preserve"> ADDIN ZOTERO_ITEM CSL_CITATION {"citationID":"hXbW2y4N","properties":{"unsorted":false,"formattedCitation":"\\super 14,15\\nosupersub{}","plainCitation":"14,15","noteIndex":0},"citationItems":[{"id":9811,"uris":["http://zotero.org/users/56896/items/QNFHZZPD"],"itemData":{"id":9811,"type":"article-journal","abstract":"Motivation\nShort-read whole-genome sequencing (WGS) is a vital tool for clinical applications and basic research. Genetic divergence from the reference genome, repetitive sequences and sequencing bias reduces the performance of variant calling using short-read alignment, but the loss in recall and specificity has not been adequately characterized. To benchmark short-read variant calling, we used 36 diverse clinical Mycobacterium tuberculosis (Mtb) isolates dually sequenced with Illumina short-reads and PacBio long-reads. We systematically studied the short-read variant calling accuracy and the influence of sequence uniqueness, reference bias and GC content.\n\nResults\nReference-based Illumina variant calling demonstrated a maximum recall of 89.0% and minimum precision of 98.5% across parameters evaluated. The approach that maximized variant recall while still maintaining high precision (&lt;99%) was tuning the mapping quality filtering threshold, i.e. confidence of the read mapping (recall = 85.8%, precision = 99.1%, MQ ≥ 40). Additional masking of repetitive sequence content is an alternative conservative approach to variant calling that increases precision at cost to recall (recall = 70.2%, precision = 99.6%, MQ ≥ 40). Of the genomic positions typically excluded for Mtb, 68% are accurately called using Illumina WGS including 52/168 PE/PPE genes (34.5%). From these results, we present a refined list of low confidence regions across the Mtb genome, which we found to frequently overlap with regions with structural variation, low sequence uniqueness and low sequencing coverage. Our benchmarking results have broad implications for the use of WGS in the study of Mtb biology, inference of transmission in public health surveillance systems and more generally for WGS applications in other organisms.\n\nAvailability and implementation\nAll relevant code is available at https://github.com/farhat-lab/mtb-illumina-wgs-evaluation.\n\nSupplementary information\n\n are available at Bioinformatics online.","container-title":"Bioinformatics","DOI":"10.1093/bioinformatics/btac023","ISSN":"1367-4803","issue":"7","journalAbbreviation":"Bioinformatics","page":"1781-1787","PMID":"35020793","PMCID":"PMC8963317","source":"PubMed Central","title":"Benchmarking the empirical accuracy of short-read sequencing across the M. tuberculosis genome","volume":"38","author":[{"family":"Marin","given":"Maximillian"},{"family":"Vargas","given":"Roger"},{"family":"Harris","given":"Michael"},{"family":"Jeffrey","given":"Brendan"},{"family":"Epperson","given":"L Elaine"},{"family":"Durbin","given":"David"},{"family":"Strong","given":"Michael"},{"family":"Salfinger","given":"Max"},{"family":"Iqbal","given":"Zamin"},{"family":"Akhundova","given":"Irada"},{"family":"Vashakidze","given":"Sergo"},{"family":"Crudu","given":"Valeriu"},{"family":"Rosenthal","given":"Alex"},{"family":"Farhat","given":"Maha Reda"}],"issued":{"date-parts":[["2022",1,10]]}}},{"id":270,"uris":["http://zotero.org/users/56896/items/DZ7ANF58"],"itemData":{"id":270,"type":"article-journal","abstract":"Approximately 10 % of the Mycobacterium tuberculosis genome is made up of two families of genes that are poorly characterized due to their high GC content and highly repetitive nature. The PE and PPE families are typified by their highly conserved N-terminal domains that incorporate proline-glutamate (PE) and proline-proline-glutamate (PPE) signature motifs. They are hypothesised to be important virulence factors involved with host-pathogen interactions, but their high genetic variability and complexity of analysis means they are typically disregarded in genome studies.","container-title":"BMC Genomics","DOI":"10.1186/s12864-016-2467-y","ISSN":"1471-2164","journalAbbreviation":"BMC Genomics","page":"151","source":"BioMed Central","title":"Recombination in pe/ppe genes contributes to genetic variation in Mycobacterium tuberculosis lineages","volume":"17","author":[{"family":"Phelan","given":"Jody E."},{"family":"Coll","given":"Francesc"},{"family":"Bergval","given":"Indra"},{"family":"Anthony","given":"Richard M."},{"family":"Warren","given":"Rob"},{"family":"Sampson","given":"Samantha L."},{"family":"Gey van Pittius","given":"Nicolaas C."},{"family":"Glynn","given":"Judith R."},{"family":"Crampin","given":"Amelia C."},{"family":"Alves","given":"Adriana"},{"family":"Bessa","given":"Theolis Barbosa"},{"family":"Campino","given":"Susana"},{"family":"Dheda","given":"Keertan"},{"family":"Grandjean","given":"Louis"},{"family":"Hasan","given":"Rumina"},{"family":"Hasan","given":"Zahra"},{"family":"Miranda","given":"Anabela"},{"family":"Moore","given":"David"},{"family":"Panaiotov","given":"Stefan"},{"family":"Perdigao","given":"Joao"},{"family":"Portugal","given":"Isabel"},{"family":"Sheen","given":"Patricia"},{"family":"Oliveira Sousa","given":"Erivelton","non-dropping-particle":"de"},{"family":"Streicher","given":"Elizabeth M."},{"family":"Helden","given":"Paul D.","non-dropping-particle":"van"},{"family":"Viveiros","given":"Miguel"},{"family":"Hibberd","given":"Martin L."},{"family":"Pain","given":"Arnab"},{"family":"McNerney","given":"Ruth"},{"family":"Clark","given":"Taane G."}],"issued":{"date-parts":[["2016"]]}}}],"schema":"https://github.com/citation-style-language/schema/raw/master/csl-citation.json"} </w:instrText>
      </w:r>
      <w:r w:rsidR="00AF2D9B">
        <w:rPr>
          <w:rFonts w:ascii="Times New Roman" w:eastAsiaTheme="minorEastAsia" w:hAnsi="Times New Roman" w:cs="Times New Roman"/>
          <w:sz w:val="24"/>
          <w:szCs w:val="24"/>
        </w:rPr>
        <w:fldChar w:fldCharType="separate"/>
      </w:r>
      <w:r w:rsidR="00DB5BDA" w:rsidRPr="00DB5BDA">
        <w:rPr>
          <w:rFonts w:ascii="Times New Roman" w:hAnsi="Times New Roman" w:cs="Times New Roman"/>
          <w:kern w:val="0"/>
          <w:sz w:val="24"/>
          <w:szCs w:val="24"/>
          <w:vertAlign w:val="superscript"/>
        </w:rPr>
        <w:t>14,15</w:t>
      </w:r>
      <w:r w:rsidR="00AF2D9B">
        <w:rPr>
          <w:rFonts w:ascii="Times New Roman" w:eastAsiaTheme="minorEastAsia" w:hAnsi="Times New Roman" w:cs="Times New Roman"/>
          <w:sz w:val="24"/>
          <w:szCs w:val="24"/>
        </w:rPr>
        <w:fldChar w:fldCharType="end"/>
      </w:r>
      <w:r w:rsidR="006F337B">
        <w:rPr>
          <w:rFonts w:ascii="Times New Roman" w:eastAsiaTheme="minorEastAsia" w:hAnsi="Times New Roman" w:cs="Times New Roman"/>
          <w:sz w:val="24"/>
          <w:szCs w:val="24"/>
        </w:rPr>
        <w:t xml:space="preserve">, and indels are out of scope. Fourth, subgroup sizes are too small for inferential treatment of demographic covariates. </w:t>
      </w:r>
      <w:r w:rsidR="00E435EC">
        <w:rPr>
          <w:rFonts w:ascii="Times New Roman" w:eastAsiaTheme="minorEastAsia" w:hAnsi="Times New Roman" w:cs="Times New Roman"/>
          <w:sz w:val="24"/>
          <w:szCs w:val="24"/>
        </w:rPr>
        <w:t>Crucially</w:t>
      </w:r>
      <w:r w:rsidR="006F337B">
        <w:rPr>
          <w:rFonts w:ascii="Times New Roman" w:eastAsiaTheme="minorEastAsia" w:hAnsi="Times New Roman" w:cs="Times New Roman"/>
          <w:sz w:val="24"/>
          <w:szCs w:val="24"/>
        </w:rPr>
        <w:t>, the calibration cannot itself correct for false</w:t>
      </w:r>
      <w:r w:rsidR="00E435EC">
        <w:rPr>
          <w:rFonts w:ascii="Times New Roman" w:eastAsiaTheme="minorEastAsia" w:hAnsi="Times New Roman" w:cs="Times New Roman"/>
          <w:sz w:val="24"/>
          <w:szCs w:val="24"/>
        </w:rPr>
        <w:t xml:space="preserve"> negatives, as it is a measurement design, not a measurement-error model. Within-patient replicate disagreement in this cohort was modest, which </w:t>
      </w:r>
      <w:r w:rsidR="00CB4A59">
        <w:rPr>
          <w:rFonts w:ascii="Times New Roman" w:eastAsiaTheme="minorEastAsia" w:hAnsi="Times New Roman" w:cs="Times New Roman"/>
          <w:sz w:val="24"/>
          <w:szCs w:val="24"/>
        </w:rPr>
        <w:t xml:space="preserve">constrains the information available to any future detection-correction model anchored in disagreement alone. </w:t>
      </w:r>
    </w:p>
    <w:p w14:paraId="45F46BD7" w14:textId="0128A6D6" w:rsidR="00784BCD" w:rsidRDefault="00784BCD" w:rsidP="002B7C78">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1F7F38">
        <w:rPr>
          <w:rFonts w:ascii="Times New Roman" w:eastAsiaTheme="minorEastAsia" w:hAnsi="Times New Roman" w:cs="Times New Roman"/>
          <w:sz w:val="24"/>
          <w:szCs w:val="24"/>
        </w:rPr>
        <w:t xml:space="preserve">Two extensions follow naturally. </w:t>
      </w:r>
      <w:r>
        <w:rPr>
          <w:rFonts w:ascii="Times New Roman" w:eastAsiaTheme="minorEastAsia" w:hAnsi="Times New Roman" w:cs="Times New Roman"/>
          <w:sz w:val="24"/>
          <w:szCs w:val="24"/>
        </w:rPr>
        <w:t>Application of the same lexicographic plus bootstrap calibration to other cultured-sputum TB cohorts would test whether the threshold ladder converges across populations or instead reveals</w:t>
      </w:r>
      <w:r w:rsidR="00623776">
        <w:rPr>
          <w:rFonts w:ascii="Times New Roman" w:eastAsiaTheme="minorEastAsia" w:hAnsi="Times New Roman" w:cs="Times New Roman"/>
          <w:sz w:val="24"/>
          <w:szCs w:val="24"/>
        </w:rPr>
        <w:t xml:space="preserve"> cohort-specific measurement profiles; either outcome is informative. A larger longitudinal sub-cohort, building on existing within-host TB longitudinal designs</w:t>
      </w:r>
      <w:r w:rsidR="00204D03">
        <w:rPr>
          <w:rFonts w:ascii="Times New Roman" w:eastAsiaTheme="minorEastAsia" w:hAnsi="Times New Roman" w:cs="Times New Roman"/>
          <w:sz w:val="24"/>
          <w:szCs w:val="24"/>
        </w:rPr>
        <w:fldChar w:fldCharType="begin"/>
      </w:r>
      <w:r w:rsidR="00217D83">
        <w:rPr>
          <w:rFonts w:ascii="Times New Roman" w:eastAsiaTheme="minorEastAsia" w:hAnsi="Times New Roman" w:cs="Times New Roman"/>
          <w:sz w:val="24"/>
          <w:szCs w:val="24"/>
        </w:rPr>
        <w:instrText xml:space="preserve"> ADDIN ZOTERO_ITEM CSL_CITATION {"citationID":"2tkEz2x0","properties":{"unsorted":false,"formattedCitation":"\\super 7\\nosupersub{}","plainCitation":"7","noteIndex":0},"citationItems":[{"id":10555,"uris":["http://zotero.org/users/56896/items/JE7V4VKI"],"itemData":{"id":10555,"type":"article-journal","abstract":"Tuberculosis (TB) is a leading cause of death globally. Understanding the population dynamics of TB's causative agent Mycobacterium tuberculosis complex  (Mtbc) in-host is vital for understanding the efficacy of antibiotic treatment.  We use longitudinally collected clinical Mtbc isolates that underwent  Whole-Genome Sequencing from the sputa of 200 patients to investigate Mtbc  diversity during the course of active TB disease after excluding 107 cases  suspected of reinfection, mixed infection or contamination. Of the 178/200  patients with persistent clonal infection &gt;2 months, 27 developed new resistance  mutations between sampling with 20/27 occurring in patients with pre-existing  resistance. Low abundance resistance variants at a purity of ≥19% in the first  isolate predict fixation in the subsequent sample. We identify significant  in-host variation in 27 genes, including antibiotic resistance genes, metabolic  genes and genes known to modulate host innate immunity and confirm several to be  under positive selection by assessing phylogenetic convergence across a  genetically diverse sample of 20,352 isolates.","container-title":"eLife","DOI":"10.7554/eLife.61805","ISSN":"2050-084X","journalAbbreviation":"Elife","language":"eng","license":"© 2021, Vargas et al.","PMID":"33522489","PMCID":"PMC7884073","publisher-place":"England","title":"In-host population dynamics of Mycobacterium tuberculosis complex during active disease.","volume":"10","author":[{"family":"Vargas","given":"Roger"},{"family":"Freschi","given":"Luca"},{"family":"Marin","given":"Maximillian"},{"family":"Epperson","given":"L. Elaine"},{"family":"Smith","given":"Melissa"},{"family":"Oussenko","given":"Irina"},{"family":"Durbin","given":"David"},{"family":"Strong","given":"Michael"},{"family":"Salfinger","given":"Max"},{"family":"Farhat","given":"Maha Reda"}],"issued":{"date-parts":[["2021",2,1]]}}}],"schema":"https://github.com/citation-style-language/schema/raw/master/csl-citation.json"} </w:instrText>
      </w:r>
      <w:r w:rsidR="00204D03">
        <w:rPr>
          <w:rFonts w:ascii="Times New Roman" w:eastAsiaTheme="minorEastAsia" w:hAnsi="Times New Roman" w:cs="Times New Roman"/>
          <w:sz w:val="24"/>
          <w:szCs w:val="24"/>
        </w:rPr>
        <w:fldChar w:fldCharType="separate"/>
      </w:r>
      <w:r w:rsidR="00217D83" w:rsidRPr="00217D83">
        <w:rPr>
          <w:rFonts w:ascii="Times New Roman" w:hAnsi="Times New Roman" w:cs="Times New Roman"/>
          <w:kern w:val="0"/>
          <w:sz w:val="24"/>
          <w:szCs w:val="24"/>
          <w:vertAlign w:val="superscript"/>
        </w:rPr>
        <w:t>7</w:t>
      </w:r>
      <w:r w:rsidR="00204D03">
        <w:rPr>
          <w:rFonts w:ascii="Times New Roman" w:eastAsiaTheme="minorEastAsia" w:hAnsi="Times New Roman" w:cs="Times New Roman"/>
          <w:sz w:val="24"/>
          <w:szCs w:val="24"/>
        </w:rPr>
        <w:fldChar w:fldCharType="end"/>
      </w:r>
      <w:r w:rsidR="00623776">
        <w:rPr>
          <w:rFonts w:ascii="Times New Roman" w:eastAsiaTheme="minorEastAsia" w:hAnsi="Times New Roman" w:cs="Times New Roman"/>
          <w:sz w:val="24"/>
          <w:szCs w:val="24"/>
        </w:rPr>
        <w:t xml:space="preserve">, would </w:t>
      </w:r>
      <w:r w:rsidR="00EC1F81">
        <w:rPr>
          <w:rFonts w:ascii="Times New Roman" w:eastAsiaTheme="minorEastAsia" w:hAnsi="Times New Roman" w:cs="Times New Roman"/>
          <w:sz w:val="24"/>
          <w:szCs w:val="24"/>
        </w:rPr>
        <w:t xml:space="preserve">convert persistence from a qualitative case-series into a quantitative phenotype amenable to formal modeling. </w:t>
      </w:r>
      <w:r w:rsidR="004018A1">
        <w:rPr>
          <w:rFonts w:ascii="Times New Roman" w:eastAsiaTheme="minorEastAsia" w:hAnsi="Times New Roman" w:cs="Times New Roman"/>
          <w:sz w:val="24"/>
          <w:szCs w:val="24"/>
        </w:rPr>
        <w:t xml:space="preserve">More broadly, replicate-anchored calibration is a measurement-design template the within-host pathogen literature has lacked; uptake would improve cross-study comparability without imposing a fixed cutoff. </w:t>
      </w:r>
    </w:p>
    <w:p w14:paraId="40B07249" w14:textId="27B39627" w:rsidR="00C43132" w:rsidRPr="000A1D32" w:rsidRDefault="00C43132" w:rsidP="008C7170">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Conflict of Interest</w:t>
      </w:r>
      <w:r w:rsidR="00BD2D7F">
        <w:rPr>
          <w:rFonts w:ascii="Times New Roman" w:eastAsiaTheme="minorEastAsia" w:hAnsi="Times New Roman" w:cs="Times New Roman"/>
          <w:b/>
          <w:bCs/>
          <w:sz w:val="24"/>
          <w:szCs w:val="24"/>
        </w:rPr>
        <w:t xml:space="preserve">: </w:t>
      </w:r>
      <w:r w:rsidR="004C2458">
        <w:rPr>
          <w:rFonts w:ascii="Times New Roman" w:eastAsiaTheme="minorEastAsia" w:hAnsi="Times New Roman" w:cs="Times New Roman"/>
          <w:sz w:val="24"/>
          <w:szCs w:val="24"/>
        </w:rPr>
        <w:t>The authors declare that there are no conflicts of interest</w:t>
      </w:r>
      <w:r w:rsidR="00784B89">
        <w:rPr>
          <w:rFonts w:ascii="Times New Roman" w:eastAsiaTheme="minorEastAsia" w:hAnsi="Times New Roman" w:cs="Times New Roman"/>
          <w:sz w:val="24"/>
          <w:szCs w:val="24"/>
        </w:rPr>
        <w:t>.</w:t>
      </w:r>
    </w:p>
    <w:p w14:paraId="451F266A" w14:textId="55BFC00F" w:rsidR="004306D1" w:rsidRPr="00784B89" w:rsidRDefault="004306D1" w:rsidP="008C7170">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Funding information</w:t>
      </w:r>
      <w:r w:rsidR="00BD2D7F">
        <w:rPr>
          <w:rFonts w:ascii="Times New Roman" w:eastAsiaTheme="minorEastAsia" w:hAnsi="Times New Roman" w:cs="Times New Roman"/>
          <w:b/>
          <w:bCs/>
          <w:sz w:val="24"/>
          <w:szCs w:val="24"/>
        </w:rPr>
        <w:t xml:space="preserve">: </w:t>
      </w:r>
      <w:r w:rsidR="00784B89">
        <w:rPr>
          <w:rFonts w:ascii="Times New Roman" w:eastAsiaTheme="minorEastAsia" w:hAnsi="Times New Roman" w:cs="Times New Roman"/>
          <w:sz w:val="24"/>
          <w:szCs w:val="24"/>
        </w:rPr>
        <w:t>This work was supported by the National Institute of Health</w:t>
      </w:r>
      <w:r w:rsidR="00630FF3">
        <w:rPr>
          <w:rFonts w:ascii="Times New Roman" w:eastAsiaTheme="minorEastAsia" w:hAnsi="Times New Roman" w:cs="Times New Roman"/>
          <w:sz w:val="24"/>
          <w:szCs w:val="24"/>
        </w:rPr>
        <w:t xml:space="preserve"> (</w:t>
      </w:r>
      <w:r w:rsidR="00341BFF">
        <w:rPr>
          <w:rFonts w:ascii="Times New Roman" w:eastAsiaTheme="minorEastAsia" w:hAnsi="Times New Roman" w:cs="Times New Roman"/>
          <w:sz w:val="24"/>
          <w:szCs w:val="24"/>
        </w:rPr>
        <w:t>K01AI153544</w:t>
      </w:r>
      <w:r w:rsidR="0001280F">
        <w:rPr>
          <w:rFonts w:ascii="Times New Roman" w:eastAsiaTheme="minorEastAsia" w:hAnsi="Times New Roman" w:cs="Times New Roman"/>
          <w:sz w:val="24"/>
          <w:szCs w:val="24"/>
        </w:rPr>
        <w:t>)</w:t>
      </w:r>
      <w:r w:rsidR="00341BFF">
        <w:rPr>
          <w:rFonts w:ascii="Times New Roman" w:eastAsiaTheme="minorEastAsia" w:hAnsi="Times New Roman" w:cs="Times New Roman"/>
          <w:sz w:val="24"/>
          <w:szCs w:val="24"/>
        </w:rPr>
        <w:t xml:space="preserve"> </w:t>
      </w:r>
      <w:r w:rsidR="005E68EE">
        <w:rPr>
          <w:rFonts w:ascii="Times New Roman" w:eastAsiaTheme="minorEastAsia" w:hAnsi="Times New Roman" w:cs="Times New Roman"/>
          <w:sz w:val="24"/>
          <w:szCs w:val="24"/>
        </w:rPr>
        <w:t>and the Gatorade Trust through funds distributed by the University of Florida, Department of Medicine</w:t>
      </w:r>
      <w:r w:rsidR="00142739">
        <w:rPr>
          <w:rFonts w:ascii="Times New Roman" w:eastAsiaTheme="minorEastAsia" w:hAnsi="Times New Roman" w:cs="Times New Roman"/>
          <w:sz w:val="24"/>
          <w:szCs w:val="24"/>
        </w:rPr>
        <w:t xml:space="preserve"> (MNS)</w:t>
      </w:r>
      <w:r w:rsidR="005E68EE">
        <w:rPr>
          <w:rFonts w:ascii="Times New Roman" w:eastAsiaTheme="minorEastAsia" w:hAnsi="Times New Roman" w:cs="Times New Roman"/>
          <w:sz w:val="24"/>
          <w:szCs w:val="24"/>
        </w:rPr>
        <w:t xml:space="preserve">. The funders had no role in study design, data collection and analysis, decision to publish, or preparation of the manuscript. </w:t>
      </w:r>
    </w:p>
    <w:p w14:paraId="408EE82C" w14:textId="01970AF9" w:rsidR="005E68EE" w:rsidRPr="00843956" w:rsidRDefault="004306D1" w:rsidP="008C7170">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Ethical approval and consent to participate</w:t>
      </w:r>
      <w:r w:rsidR="00BD2D7F">
        <w:rPr>
          <w:rFonts w:ascii="Times New Roman" w:eastAsiaTheme="minorEastAsia" w:hAnsi="Times New Roman" w:cs="Times New Roman"/>
          <w:b/>
          <w:bCs/>
          <w:sz w:val="24"/>
          <w:szCs w:val="24"/>
        </w:rPr>
        <w:t xml:space="preserve">: </w:t>
      </w:r>
      <w:r w:rsidR="00843956">
        <w:rPr>
          <w:rFonts w:ascii="Times New Roman" w:eastAsiaTheme="minorEastAsia" w:hAnsi="Times New Roman" w:cs="Times New Roman"/>
          <w:sz w:val="24"/>
          <w:szCs w:val="24"/>
        </w:rPr>
        <w:t xml:space="preserve">This study was approved by the Institutional Review Board of the University of Florida </w:t>
      </w:r>
      <w:r w:rsidR="00095490">
        <w:rPr>
          <w:rFonts w:ascii="Times New Roman" w:eastAsiaTheme="minorEastAsia" w:hAnsi="Times New Roman" w:cs="Times New Roman"/>
          <w:sz w:val="24"/>
          <w:szCs w:val="24"/>
        </w:rPr>
        <w:t>(</w:t>
      </w:r>
      <w:r w:rsidR="00095490">
        <w:rPr>
          <w:rFonts w:ascii="Times New Roman" w:eastAsia="Times New Roman" w:hAnsi="Times New Roman" w:cs="Times New Roman"/>
          <w:color w:val="000000"/>
          <w:kern w:val="36"/>
          <w14:ligatures w14:val="none"/>
        </w:rPr>
        <w:t>IRB202003042)</w:t>
      </w:r>
      <w:r w:rsidR="00843956">
        <w:rPr>
          <w:rFonts w:ascii="Times New Roman" w:eastAsiaTheme="minorEastAsia" w:hAnsi="Times New Roman" w:cs="Times New Roman"/>
          <w:sz w:val="24"/>
          <w:szCs w:val="24"/>
        </w:rPr>
        <w:t xml:space="preserve"> and the Institutional Review Board of Korle Bu Teaching Hospital, Accra, Ghana </w:t>
      </w:r>
      <w:r w:rsidR="003D71F1">
        <w:rPr>
          <w:rFonts w:ascii="Times New Roman" w:eastAsia="Times New Roman" w:hAnsi="Times New Roman" w:cs="Times New Roman"/>
          <w:color w:val="000000"/>
          <w:kern w:val="36"/>
          <w14:ligatures w14:val="none"/>
        </w:rPr>
        <w:t xml:space="preserve">(IRB/000135/2020). </w:t>
      </w:r>
      <w:r w:rsidR="00843956">
        <w:rPr>
          <w:rFonts w:ascii="Times New Roman" w:eastAsiaTheme="minorEastAsia" w:hAnsi="Times New Roman" w:cs="Times New Roman"/>
          <w:sz w:val="24"/>
          <w:szCs w:val="24"/>
        </w:rPr>
        <w:t xml:space="preserve">All participants provided written informed consent prior to enrollment. </w:t>
      </w:r>
    </w:p>
    <w:p w14:paraId="657C39C0" w14:textId="661BDC1D" w:rsidR="00337909" w:rsidRPr="00337909" w:rsidRDefault="004306D1" w:rsidP="008C7170">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lastRenderedPageBreak/>
        <w:t>Author contributions</w:t>
      </w:r>
      <w:r w:rsidR="00BD2D7F">
        <w:rPr>
          <w:rFonts w:ascii="Times New Roman" w:eastAsiaTheme="minorEastAsia" w:hAnsi="Times New Roman" w:cs="Times New Roman"/>
          <w:b/>
          <w:bCs/>
          <w:sz w:val="24"/>
          <w:szCs w:val="24"/>
        </w:rPr>
        <w:t xml:space="preserve">: </w:t>
      </w:r>
      <w:r w:rsidR="00337909" w:rsidRPr="00456D54">
        <w:rPr>
          <w:rFonts w:ascii="Times New Roman" w:eastAsiaTheme="minorEastAsia" w:hAnsi="Times New Roman" w:cs="Times New Roman"/>
          <w:b/>
          <w:bCs/>
          <w:sz w:val="24"/>
          <w:szCs w:val="24"/>
        </w:rPr>
        <w:t>MNS</w:t>
      </w:r>
      <w:r w:rsidR="00337909">
        <w:rPr>
          <w:rFonts w:ascii="Times New Roman" w:eastAsiaTheme="minorEastAsia" w:hAnsi="Times New Roman" w:cs="Times New Roman"/>
          <w:sz w:val="24"/>
          <w:szCs w:val="24"/>
        </w:rPr>
        <w:t xml:space="preserve">: Conceptualization, Funding acquisition, Methodology, </w:t>
      </w:r>
      <w:r w:rsidR="00487499">
        <w:rPr>
          <w:rFonts w:ascii="Times New Roman" w:eastAsiaTheme="minorEastAsia" w:hAnsi="Times New Roman" w:cs="Times New Roman"/>
          <w:sz w:val="24"/>
          <w:szCs w:val="24"/>
        </w:rPr>
        <w:t xml:space="preserve">Project administration, Supervision, </w:t>
      </w:r>
      <w:r w:rsidR="00337909">
        <w:rPr>
          <w:rFonts w:ascii="Times New Roman" w:eastAsiaTheme="minorEastAsia" w:hAnsi="Times New Roman" w:cs="Times New Roman"/>
          <w:sz w:val="24"/>
          <w:szCs w:val="24"/>
        </w:rPr>
        <w:t xml:space="preserve">Software, Formal analysis, Visualization, Writing – original draft, Writing – review and editing. </w:t>
      </w:r>
      <w:r w:rsidR="00EF1D07" w:rsidRPr="00957745">
        <w:rPr>
          <w:rFonts w:ascii="Times New Roman" w:eastAsiaTheme="minorEastAsia" w:hAnsi="Times New Roman" w:cs="Times New Roman"/>
          <w:b/>
          <w:bCs/>
          <w:sz w:val="24"/>
          <w:szCs w:val="24"/>
        </w:rPr>
        <w:t>JC</w:t>
      </w:r>
      <w:r w:rsidR="00EF1D07">
        <w:rPr>
          <w:rFonts w:ascii="Times New Roman" w:eastAsiaTheme="minorEastAsia" w:hAnsi="Times New Roman" w:cs="Times New Roman"/>
          <w:sz w:val="24"/>
          <w:szCs w:val="24"/>
        </w:rPr>
        <w:t xml:space="preserve">: </w:t>
      </w:r>
      <w:r w:rsidR="0083435B">
        <w:rPr>
          <w:rFonts w:ascii="Times New Roman" w:eastAsiaTheme="minorEastAsia" w:hAnsi="Times New Roman" w:cs="Times New Roman"/>
          <w:sz w:val="24"/>
          <w:szCs w:val="24"/>
        </w:rPr>
        <w:t>Bioinformatic</w:t>
      </w:r>
      <w:r w:rsidR="00EF1D07">
        <w:rPr>
          <w:rFonts w:ascii="Times New Roman" w:eastAsiaTheme="minorEastAsia" w:hAnsi="Times New Roman" w:cs="Times New Roman"/>
          <w:sz w:val="24"/>
          <w:szCs w:val="24"/>
        </w:rPr>
        <w:t xml:space="preserve">, Software, Writing – review and editing. </w:t>
      </w:r>
      <w:r w:rsidR="00456D54" w:rsidRPr="00456D54">
        <w:rPr>
          <w:rFonts w:ascii="Times New Roman" w:eastAsiaTheme="minorEastAsia" w:hAnsi="Times New Roman" w:cs="Times New Roman"/>
          <w:b/>
          <w:bCs/>
          <w:sz w:val="24"/>
          <w:szCs w:val="24"/>
        </w:rPr>
        <w:t>JAM</w:t>
      </w:r>
      <w:r w:rsidR="00957745">
        <w:rPr>
          <w:rFonts w:ascii="Times New Roman" w:eastAsiaTheme="minorEastAsia" w:hAnsi="Times New Roman" w:cs="Times New Roman"/>
          <w:sz w:val="24"/>
          <w:szCs w:val="24"/>
        </w:rPr>
        <w:t>: Investigation, Resources,</w:t>
      </w:r>
      <w:r w:rsidR="00EA0A15">
        <w:rPr>
          <w:rFonts w:ascii="Times New Roman" w:eastAsiaTheme="minorEastAsia" w:hAnsi="Times New Roman" w:cs="Times New Roman"/>
          <w:sz w:val="24"/>
          <w:szCs w:val="24"/>
        </w:rPr>
        <w:t xml:space="preserve"> Project administration, Supervision, </w:t>
      </w:r>
      <w:r w:rsidR="009A0648">
        <w:rPr>
          <w:rFonts w:ascii="Times New Roman" w:eastAsiaTheme="minorEastAsia" w:hAnsi="Times New Roman" w:cs="Times New Roman"/>
          <w:sz w:val="24"/>
          <w:szCs w:val="24"/>
        </w:rPr>
        <w:t>Data Curation, Writing – review and editing</w:t>
      </w:r>
      <w:r w:rsidR="00712C53">
        <w:rPr>
          <w:rFonts w:ascii="Times New Roman" w:eastAsiaTheme="minorEastAsia" w:hAnsi="Times New Roman" w:cs="Times New Roman"/>
          <w:sz w:val="24"/>
          <w:szCs w:val="24"/>
        </w:rPr>
        <w:t xml:space="preserve">. </w:t>
      </w:r>
      <w:r w:rsidR="00483A2A" w:rsidRPr="00456D54">
        <w:rPr>
          <w:rFonts w:ascii="Times New Roman" w:eastAsiaTheme="minorEastAsia" w:hAnsi="Times New Roman" w:cs="Times New Roman"/>
          <w:b/>
          <w:bCs/>
          <w:sz w:val="24"/>
          <w:szCs w:val="24"/>
        </w:rPr>
        <w:t>MAB, CD, EK</w:t>
      </w:r>
      <w:r w:rsidR="00483A2A">
        <w:rPr>
          <w:rFonts w:ascii="Times New Roman" w:eastAsiaTheme="minorEastAsia" w:hAnsi="Times New Roman" w:cs="Times New Roman"/>
          <w:sz w:val="24"/>
          <w:szCs w:val="24"/>
        </w:rPr>
        <w:t xml:space="preserve">: Investigation, </w:t>
      </w:r>
      <w:r w:rsidR="002E20F8">
        <w:rPr>
          <w:rFonts w:ascii="Times New Roman" w:eastAsiaTheme="minorEastAsia" w:hAnsi="Times New Roman" w:cs="Times New Roman"/>
          <w:sz w:val="24"/>
          <w:szCs w:val="24"/>
        </w:rPr>
        <w:t>Data curation</w:t>
      </w:r>
      <w:r w:rsidR="00483A2A">
        <w:rPr>
          <w:rFonts w:ascii="Times New Roman" w:eastAsiaTheme="minorEastAsia" w:hAnsi="Times New Roman" w:cs="Times New Roman"/>
          <w:sz w:val="24"/>
          <w:szCs w:val="24"/>
        </w:rPr>
        <w:t>, Writing</w:t>
      </w:r>
      <w:r w:rsidR="00C95DB3">
        <w:rPr>
          <w:rFonts w:ascii="Times New Roman" w:eastAsiaTheme="minorEastAsia" w:hAnsi="Times New Roman" w:cs="Times New Roman"/>
          <w:sz w:val="24"/>
          <w:szCs w:val="24"/>
        </w:rPr>
        <w:t xml:space="preserve"> – </w:t>
      </w:r>
      <w:r w:rsidR="00483A2A">
        <w:rPr>
          <w:rFonts w:ascii="Times New Roman" w:eastAsiaTheme="minorEastAsia" w:hAnsi="Times New Roman" w:cs="Times New Roman"/>
          <w:sz w:val="24"/>
          <w:szCs w:val="24"/>
        </w:rPr>
        <w:t xml:space="preserve">review and editing. </w:t>
      </w:r>
      <w:r w:rsidR="00483A2A" w:rsidRPr="00957745">
        <w:rPr>
          <w:rFonts w:ascii="Times New Roman" w:eastAsiaTheme="minorEastAsia" w:hAnsi="Times New Roman" w:cs="Times New Roman"/>
          <w:b/>
          <w:bCs/>
          <w:sz w:val="24"/>
          <w:szCs w:val="24"/>
        </w:rPr>
        <w:t>MZ, SMA, HG, MA</w:t>
      </w:r>
      <w:r w:rsidR="0083435B" w:rsidRPr="00957745">
        <w:rPr>
          <w:rFonts w:ascii="Times New Roman" w:eastAsiaTheme="minorEastAsia" w:hAnsi="Times New Roman" w:cs="Times New Roman"/>
          <w:b/>
          <w:bCs/>
          <w:sz w:val="24"/>
          <w:szCs w:val="24"/>
        </w:rPr>
        <w:t>O</w:t>
      </w:r>
      <w:r w:rsidR="0083435B">
        <w:rPr>
          <w:rFonts w:ascii="Times New Roman" w:eastAsiaTheme="minorEastAsia" w:hAnsi="Times New Roman" w:cs="Times New Roman"/>
          <w:sz w:val="24"/>
          <w:szCs w:val="24"/>
        </w:rPr>
        <w:t xml:space="preserve">: </w:t>
      </w:r>
      <w:r w:rsidR="00C95DB3">
        <w:rPr>
          <w:rFonts w:ascii="Times New Roman" w:eastAsiaTheme="minorEastAsia" w:hAnsi="Times New Roman" w:cs="Times New Roman"/>
          <w:sz w:val="24"/>
          <w:szCs w:val="24"/>
        </w:rPr>
        <w:t>Laboratory</w:t>
      </w:r>
      <w:r w:rsidR="0083435B">
        <w:rPr>
          <w:rFonts w:ascii="Times New Roman" w:eastAsiaTheme="minorEastAsia" w:hAnsi="Times New Roman" w:cs="Times New Roman"/>
          <w:sz w:val="24"/>
          <w:szCs w:val="24"/>
        </w:rPr>
        <w:t xml:space="preserve">, </w:t>
      </w:r>
      <w:r w:rsidR="002E20F8">
        <w:rPr>
          <w:rFonts w:ascii="Times New Roman" w:eastAsiaTheme="minorEastAsia" w:hAnsi="Times New Roman" w:cs="Times New Roman"/>
          <w:sz w:val="24"/>
          <w:szCs w:val="24"/>
        </w:rPr>
        <w:t>Data curation</w:t>
      </w:r>
      <w:r w:rsidR="0083435B">
        <w:rPr>
          <w:rFonts w:ascii="Times New Roman" w:eastAsiaTheme="minorEastAsia" w:hAnsi="Times New Roman" w:cs="Times New Roman"/>
          <w:sz w:val="24"/>
          <w:szCs w:val="24"/>
        </w:rPr>
        <w:t xml:space="preserve">, Writing </w:t>
      </w:r>
      <w:r w:rsidR="00C95DB3">
        <w:rPr>
          <w:rFonts w:ascii="Times New Roman" w:eastAsiaTheme="minorEastAsia" w:hAnsi="Times New Roman" w:cs="Times New Roman"/>
          <w:sz w:val="24"/>
          <w:szCs w:val="24"/>
        </w:rPr>
        <w:t>–</w:t>
      </w:r>
      <w:r w:rsidR="0083435B">
        <w:rPr>
          <w:rFonts w:ascii="Times New Roman" w:eastAsiaTheme="minorEastAsia" w:hAnsi="Times New Roman" w:cs="Times New Roman"/>
          <w:sz w:val="24"/>
          <w:szCs w:val="24"/>
        </w:rPr>
        <w:t xml:space="preserve"> review</w:t>
      </w:r>
      <w:r w:rsidR="00C95DB3">
        <w:rPr>
          <w:rFonts w:ascii="Times New Roman" w:eastAsiaTheme="minorEastAsia" w:hAnsi="Times New Roman" w:cs="Times New Roman"/>
          <w:sz w:val="24"/>
          <w:szCs w:val="24"/>
        </w:rPr>
        <w:t xml:space="preserve"> and editing</w:t>
      </w:r>
      <w:r w:rsidR="00D9767F">
        <w:rPr>
          <w:rFonts w:ascii="Times New Roman" w:eastAsiaTheme="minorEastAsia" w:hAnsi="Times New Roman" w:cs="Times New Roman"/>
          <w:sz w:val="24"/>
          <w:szCs w:val="24"/>
        </w:rPr>
        <w:t xml:space="preserve">. </w:t>
      </w:r>
    </w:p>
    <w:p w14:paraId="76B182A0" w14:textId="7594B851" w:rsidR="00045A16" w:rsidRDefault="004306D1" w:rsidP="007D7511">
      <w:pPr>
        <w:spacing w:line="480" w:lineRule="auto"/>
        <w:ind w:firstLine="0"/>
        <w:jc w:val="left"/>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Acknowledgements</w:t>
      </w:r>
      <w:r w:rsidR="004C2458">
        <w:rPr>
          <w:rFonts w:ascii="Times New Roman" w:eastAsiaTheme="minorEastAsia" w:hAnsi="Times New Roman" w:cs="Times New Roman"/>
          <w:b/>
          <w:bCs/>
          <w:sz w:val="24"/>
          <w:szCs w:val="24"/>
        </w:rPr>
        <w:t xml:space="preserve">: </w:t>
      </w:r>
      <w:r w:rsidR="00153D58">
        <w:rPr>
          <w:rFonts w:ascii="Times New Roman" w:eastAsiaTheme="minorEastAsia" w:hAnsi="Times New Roman" w:cs="Times New Roman"/>
          <w:sz w:val="24"/>
          <w:szCs w:val="24"/>
        </w:rPr>
        <w:t>The authors thank Matt D.T. Hitchings for code review of the analysis pipeline</w:t>
      </w:r>
      <w:r w:rsidR="00BD773E">
        <w:rPr>
          <w:rFonts w:ascii="Times New Roman" w:eastAsiaTheme="minorEastAsia" w:hAnsi="Times New Roman" w:cs="Times New Roman"/>
          <w:sz w:val="24"/>
          <w:szCs w:val="24"/>
        </w:rPr>
        <w:t xml:space="preserve"> and Marco Salemi for comments on the first draft</w:t>
      </w:r>
      <w:r w:rsidR="00012042">
        <w:rPr>
          <w:rFonts w:ascii="Times New Roman" w:eastAsiaTheme="minorEastAsia" w:hAnsi="Times New Roman" w:cs="Times New Roman"/>
          <w:sz w:val="24"/>
          <w:szCs w:val="24"/>
        </w:rPr>
        <w:t xml:space="preserve">. </w:t>
      </w:r>
      <w:r w:rsidR="00045A16">
        <w:rPr>
          <w:rFonts w:ascii="Times New Roman" w:eastAsiaTheme="minorEastAsia" w:hAnsi="Times New Roman" w:cs="Times New Roman"/>
          <w:sz w:val="24"/>
          <w:szCs w:val="24"/>
        </w:rPr>
        <w:br w:type="page"/>
      </w:r>
    </w:p>
    <w:p w14:paraId="6B30C780" w14:textId="7B276888" w:rsidR="00E24C2E" w:rsidRDefault="00E24C2E" w:rsidP="00F65A7B">
      <w:pPr>
        <w:spacing w:line="48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Figure and Table Captions</w:t>
      </w:r>
    </w:p>
    <w:p w14:paraId="0B685E3D" w14:textId="2688AC8C" w:rsidR="000A16B6" w:rsidRDefault="000A16B6" w:rsidP="00D42802">
      <w:pPr>
        <w:spacing w:line="24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Main Figures</w:t>
      </w:r>
    </w:p>
    <w:p w14:paraId="74F03A55" w14:textId="755A2612" w:rsidR="000A16B6" w:rsidRPr="00A9162E" w:rsidRDefault="000A16B6" w:rsidP="00C36441">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Figure 1. </w:t>
      </w:r>
      <w:r w:rsidR="00200C95">
        <w:rPr>
          <w:rFonts w:ascii="Times New Roman" w:eastAsiaTheme="minorEastAsia" w:hAnsi="Times New Roman" w:cs="Times New Roman"/>
          <w:b/>
          <w:bCs/>
          <w:sz w:val="24"/>
          <w:szCs w:val="24"/>
        </w:rPr>
        <w:t>Two-stage calibration of the iSNV detection threshold</w:t>
      </w:r>
      <w:r>
        <w:rPr>
          <w:rFonts w:ascii="Times New Roman" w:eastAsiaTheme="minorEastAsia" w:hAnsi="Times New Roman" w:cs="Times New Roman"/>
          <w:sz w:val="24"/>
          <w:szCs w:val="24"/>
        </w:rPr>
        <w:t xml:space="preserve">. </w:t>
      </w:r>
      <w:r w:rsidR="00200C95">
        <w:rPr>
          <w:rFonts w:ascii="Times New Roman" w:eastAsiaTheme="minorEastAsia" w:hAnsi="Times New Roman" w:cs="Times New Roman"/>
          <w:sz w:val="24"/>
          <w:szCs w:val="24"/>
        </w:rPr>
        <w:t>(</w:t>
      </w:r>
      <w:r w:rsidR="00200C95" w:rsidRPr="00A9162E">
        <w:rPr>
          <w:rFonts w:ascii="Times New Roman" w:eastAsiaTheme="minorEastAsia" w:hAnsi="Times New Roman" w:cs="Times New Roman"/>
          <w:b/>
          <w:bCs/>
          <w:sz w:val="24"/>
          <w:szCs w:val="24"/>
        </w:rPr>
        <w:t>A</w:t>
      </w:r>
      <w:r w:rsidR="00200C95">
        <w:rPr>
          <w:rFonts w:ascii="Times New Roman" w:eastAsiaTheme="minorEastAsia" w:hAnsi="Times New Roman" w:cs="Times New Roman"/>
          <w:sz w:val="24"/>
          <w:szCs w:val="24"/>
        </w:rPr>
        <w:t xml:space="preserve">) </w:t>
      </w:r>
      <w:r w:rsidR="00A9162E">
        <w:rPr>
          <w:rFonts w:ascii="Times New Roman" w:eastAsiaTheme="minorEastAsia" w:hAnsi="Times New Roman" w:cs="Times New Roman"/>
          <w:sz w:val="24"/>
          <w:szCs w:val="24"/>
        </w:rPr>
        <w:t>Top 10</w:t>
      </w:r>
      <w:r w:rsidR="00200C95">
        <w:rPr>
          <w:rFonts w:ascii="Times New Roman" w:eastAsiaTheme="minorEastAsia" w:hAnsi="Times New Roman" w:cs="Times New Roman"/>
          <w:sz w:val="24"/>
          <w:szCs w:val="24"/>
        </w:rPr>
        <w:t xml:space="preserve"> Stage 1</w:t>
      </w:r>
      <w:r w:rsidR="004E4A18">
        <w:rPr>
          <w:rFonts w:ascii="Times New Roman" w:eastAsiaTheme="minorEastAsia" w:hAnsi="Times New Roman" w:cs="Times New Roman"/>
          <w:sz w:val="24"/>
          <w:szCs w:val="24"/>
        </w:rPr>
        <w:t xml:space="preserve"> lexicographic candidate cells plotted on the (median Jaccard, median symmetric confirmation rate) plane, both computed over evaluable pairs (specimens non-empty in both replicates) from 169 within-visit</w:t>
      </w:r>
      <w:r w:rsidR="00DA6FEF">
        <w:rPr>
          <w:rFonts w:ascii="Times New Roman" w:eastAsiaTheme="minorEastAsia" w:hAnsi="Times New Roman" w:cs="Times New Roman"/>
          <w:sz w:val="24"/>
          <w:szCs w:val="24"/>
        </w:rPr>
        <w:t xml:space="preserve"> M0 specimen pairs (67 patients). The blue star at (1,1) marks the ideal</w:t>
      </w:r>
      <w:r w:rsidR="006D48AE">
        <w:rPr>
          <w:rFonts w:ascii="Times New Roman" w:eastAsiaTheme="minorEastAsia" w:hAnsi="Times New Roman" w:cs="Times New Roman"/>
          <w:sz w:val="24"/>
          <w:szCs w:val="24"/>
        </w:rPr>
        <w:t>. Markers: down-triangle (green) = Looser tier; circle = Primary (red = Stage 2 bootstrap-stabilized</w:t>
      </w:r>
      <w:r w:rsidR="00A9162E">
        <w:rPr>
          <w:rFonts w:ascii="Times New Roman" w:eastAsiaTheme="minorEastAsia" w:hAnsi="Times New Roman" w:cs="Times New Roman"/>
          <w:sz w:val="24"/>
          <w:szCs w:val="24"/>
        </w:rPr>
        <w:t>; the Stage 1 observed primary, shown in blue when discrepant, coincides with Stage 2 here); up-triangle (purple) = Tighter tier. (</w:t>
      </w:r>
      <w:r w:rsidR="00A9162E">
        <w:rPr>
          <w:rFonts w:ascii="Times New Roman" w:eastAsiaTheme="minorEastAsia" w:hAnsi="Times New Roman" w:cs="Times New Roman"/>
          <w:b/>
          <w:bCs/>
          <w:sz w:val="24"/>
          <w:szCs w:val="24"/>
        </w:rPr>
        <w:t>B</w:t>
      </w:r>
      <w:r w:rsidR="00A9162E">
        <w:rPr>
          <w:rFonts w:ascii="Times New Roman" w:eastAsiaTheme="minorEastAsia" w:hAnsi="Times New Roman" w:cs="Times New Roman"/>
          <w:sz w:val="24"/>
          <w:szCs w:val="24"/>
        </w:rPr>
        <w:t>)</w:t>
      </w:r>
      <w:r w:rsidR="007A0F63">
        <w:rPr>
          <w:rFonts w:ascii="Times New Roman" w:eastAsiaTheme="minorEastAsia" w:hAnsi="Times New Roman" w:cs="Times New Roman"/>
          <w:sz w:val="24"/>
          <w:szCs w:val="24"/>
        </w:rPr>
        <w:t xml:space="preserve"> Top cells ranked by bootstrap selection frequency from B = 1,000 nonparametric pair-level resamples; 297</w:t>
      </w:r>
      <w:r w:rsidR="00976FB1">
        <w:rPr>
          <w:rFonts w:ascii="Times New Roman" w:eastAsiaTheme="minorEastAsia" w:hAnsi="Times New Roman" w:cs="Times New Roman"/>
          <w:sz w:val="24"/>
          <w:szCs w:val="24"/>
        </w:rPr>
        <w:t xml:space="preserve"> (29.7%) reps failed the lexicographic guards (</w:t>
      </w:r>
      <w:r w:rsidR="00976FB1" w:rsidRPr="00451819">
        <w:rPr>
          <w:rFonts w:ascii="Times New Roman" w:eastAsiaTheme="minorEastAsia" w:hAnsi="Times New Roman" w:cs="Times New Roman"/>
          <w:sz w:val="24"/>
          <w:szCs w:val="24"/>
        </w:rPr>
        <w:t>≥</w:t>
      </w:r>
      <w:r w:rsidR="00976FB1">
        <w:rPr>
          <w:rFonts w:ascii="Times New Roman" w:eastAsiaTheme="minorEastAsia" w:hAnsi="Times New Roman" w:cs="Times New Roman"/>
          <w:sz w:val="24"/>
          <w:szCs w:val="24"/>
        </w:rPr>
        <w:t xml:space="preserve"> 5 evaluable pairs</w:t>
      </w:r>
      <w:r w:rsidR="009056F4">
        <w:rPr>
          <w:rFonts w:ascii="Times New Roman" w:eastAsiaTheme="minorEastAsia" w:hAnsi="Times New Roman" w:cs="Times New Roman"/>
          <w:sz w:val="24"/>
          <w:szCs w:val="24"/>
        </w:rPr>
        <w:t xml:space="preserve"> and prop_both0 </w:t>
      </w:r>
      <w:r w:rsidR="00C36441">
        <w:rPr>
          <w:rFonts w:ascii="Abadi MT Condensed Light" w:eastAsiaTheme="minorEastAsia" w:hAnsi="Abadi MT Condensed Light" w:cs="Times New Roman"/>
          <w:sz w:val="24"/>
          <w:szCs w:val="24"/>
        </w:rPr>
        <w:t>≤</w:t>
      </w:r>
      <w:r w:rsidR="003A57C7">
        <w:rPr>
          <w:rFonts w:ascii="Times New Roman" w:eastAsiaTheme="minorEastAsia" w:hAnsi="Times New Roman" w:cs="Times New Roman"/>
          <w:sz w:val="24"/>
          <w:szCs w:val="24"/>
        </w:rPr>
        <w:t xml:space="preserve"> 0.95) and were excluded without imputation (n = 703 retained). Bar labels show</w:t>
      </w:r>
      <w:r w:rsidR="003D5F34">
        <w:rPr>
          <w:rFonts w:ascii="Times New Roman" w:eastAsiaTheme="minorEastAsia" w:hAnsi="Times New Roman" w:cs="Times New Roman"/>
          <w:sz w:val="24"/>
          <w:szCs w:val="24"/>
        </w:rPr>
        <w:t xml:space="preserve"> (</w:t>
      </w:r>
      <w:r w:rsidR="00C36441">
        <w:rPr>
          <w:rFonts w:ascii="Times New Roman" w:eastAsiaTheme="minorEastAsia" w:hAnsi="Times New Roman" w:cs="Times New Roman"/>
          <w:sz w:val="24"/>
          <w:szCs w:val="24"/>
        </w:rPr>
        <w:t>DP, AD</w:t>
      </w:r>
      <w:r w:rsidR="003D5F34">
        <w:rPr>
          <w:rFonts w:ascii="Times New Roman" w:eastAsiaTheme="minorEastAsia" w:hAnsi="Times New Roman" w:cs="Times New Roman"/>
          <w:sz w:val="24"/>
          <w:szCs w:val="24"/>
        </w:rPr>
        <w:t>,</w:t>
      </w:r>
      <w:r w:rsidR="00C36441">
        <w:rPr>
          <w:rFonts w:ascii="Times New Roman" w:eastAsiaTheme="minorEastAsia" w:hAnsi="Times New Roman" w:cs="Times New Roman"/>
          <w:sz w:val="24"/>
          <w:szCs w:val="24"/>
        </w:rPr>
        <w:t xml:space="preserve"> </w:t>
      </w:r>
      <w:r w:rsidR="003D5F34">
        <w:rPr>
          <w:rFonts w:ascii="Times New Roman" w:eastAsiaTheme="minorEastAsia" w:hAnsi="Times New Roman" w:cs="Times New Roman"/>
          <w:sz w:val="24"/>
          <w:szCs w:val="24"/>
        </w:rPr>
        <w:t>MAF); values are the proportion of retained reps selecting each cell. The bootstrap-stabilized Primary cell</w:t>
      </w:r>
      <w:r w:rsidR="00C36441">
        <w:rPr>
          <w:rFonts w:ascii="Times New Roman" w:eastAsiaTheme="minorEastAsia" w:hAnsi="Times New Roman" w:cs="Times New Roman"/>
          <w:sz w:val="24"/>
          <w:szCs w:val="24"/>
        </w:rPr>
        <w:t xml:space="preserve"> (DP = 60, AD = 3, MAF = 0.02) was modal at 45.7% and agrees with the Stage 1 observed primary. The Looser (40,3,0.02) and Tighter (100,6,0.02) bracketing tiers were selected from the top 10 Stage 1 candidates (excluding Primary) by minimum and maximum rank-sum stringency across the three threshold axes. MAF_max = 0.50 across all tiers. </w:t>
      </w:r>
    </w:p>
    <w:p w14:paraId="5A04FF25" w14:textId="377B7F01" w:rsidR="00DC607E" w:rsidRDefault="00FF62BB" w:rsidP="006133A4">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Figure 2. Longitudinal trajectories of detected iSNVs in the persistence sub-cohort</w:t>
      </w:r>
      <w:r>
        <w:rPr>
          <w:rFonts w:ascii="Times New Roman" w:eastAsiaTheme="minorEastAsia" w:hAnsi="Times New Roman" w:cs="Times New Roman"/>
          <w:sz w:val="24"/>
          <w:szCs w:val="24"/>
        </w:rPr>
        <w:t>. Per-iSNV trajectories of minor-allele frequency across the pre-treatment (M0), four-week (M1), and eight-</w:t>
      </w:r>
      <w:r w:rsidR="00E155C8">
        <w:rPr>
          <w:rFonts w:ascii="Times New Roman" w:eastAsiaTheme="minorEastAsia" w:hAnsi="Times New Roman" w:cs="Times New Roman"/>
          <w:sz w:val="24"/>
          <w:szCs w:val="24"/>
        </w:rPr>
        <w:t>week (M2) visits in the 36 patients with at least one post-baseline specimen. Each line represents one iSNV detected under the Primary calibration rule</w:t>
      </w:r>
      <w:r w:rsidR="006E7F30">
        <w:rPr>
          <w:rFonts w:ascii="Times New Roman" w:eastAsiaTheme="minorEastAsia" w:hAnsi="Times New Roman" w:cs="Times New Roman"/>
          <w:sz w:val="24"/>
          <w:szCs w:val="24"/>
        </w:rPr>
        <w:t xml:space="preserve"> (</w:t>
      </w:r>
      <w:r w:rsidR="00D75487">
        <w:rPr>
          <w:rFonts w:ascii="Times New Roman" w:eastAsiaTheme="minorEastAsia" w:hAnsi="Times New Roman" w:cs="Times New Roman"/>
          <w:sz w:val="24"/>
          <w:szCs w:val="24"/>
        </w:rPr>
        <w:t>DP</w:t>
      </w:r>
      <w:r w:rsidR="00D75487" w:rsidRPr="00451819">
        <w:rPr>
          <w:rFonts w:ascii="Times New Roman" w:eastAsiaTheme="minorEastAsia" w:hAnsi="Times New Roman" w:cs="Times New Roman"/>
          <w:sz w:val="24"/>
          <w:szCs w:val="24"/>
        </w:rPr>
        <w:t>≥</w:t>
      </w:r>
      <w:r w:rsidR="00D75487">
        <w:rPr>
          <w:rFonts w:ascii="Times New Roman" w:eastAsiaTheme="minorEastAsia" w:hAnsi="Times New Roman" w:cs="Times New Roman"/>
          <w:sz w:val="24"/>
          <w:szCs w:val="24"/>
        </w:rPr>
        <w:t xml:space="preserve"> 60x, AD1 </w:t>
      </w:r>
      <w:r w:rsidR="00D75487" w:rsidRPr="00451819">
        <w:rPr>
          <w:rFonts w:ascii="Times New Roman" w:eastAsiaTheme="minorEastAsia" w:hAnsi="Times New Roman" w:cs="Times New Roman"/>
          <w:sz w:val="24"/>
          <w:szCs w:val="24"/>
        </w:rPr>
        <w:t>≥</w:t>
      </w:r>
      <w:r w:rsidR="00D75487">
        <w:rPr>
          <w:rFonts w:ascii="Times New Roman" w:eastAsiaTheme="minorEastAsia" w:hAnsi="Times New Roman" w:cs="Times New Roman"/>
          <w:sz w:val="24"/>
          <w:szCs w:val="24"/>
        </w:rPr>
        <w:t xml:space="preserve"> 3, MAF </w:t>
      </w:r>
      <m:oMath>
        <m:r>
          <w:rPr>
            <w:rFonts w:ascii="Cambria Math" w:hAnsi="Cambria Math" w:cs="Times New Roman"/>
            <w:sz w:val="24"/>
            <w:szCs w:val="24"/>
          </w:rPr>
          <m:t>∈</m:t>
        </m:r>
      </m:oMath>
      <w:r w:rsidR="00D75487">
        <w:rPr>
          <w:rFonts w:ascii="Times New Roman" w:eastAsiaTheme="minorEastAsia" w:hAnsi="Times New Roman" w:cs="Times New Roman"/>
          <w:sz w:val="24"/>
          <w:szCs w:val="24"/>
        </w:rPr>
        <w:t xml:space="preserve"> [0.02, 0.50]</w:t>
      </w:r>
      <w:r w:rsidR="006E7F30">
        <w:rPr>
          <w:rFonts w:ascii="Times New Roman" w:eastAsiaTheme="minorEastAsia" w:hAnsi="Times New Roman" w:cs="Times New Roman"/>
          <w:sz w:val="24"/>
          <w:szCs w:val="24"/>
        </w:rPr>
        <w:t>) at any visit. Six baseline iSNVs were observed in this sub-cohort; two persisted to a post-baseline visit</w:t>
      </w:r>
      <w:r w:rsidR="00C20E00">
        <w:rPr>
          <w:rFonts w:ascii="Times New Roman" w:eastAsiaTheme="minorEastAsia" w:hAnsi="Times New Roman" w:cs="Times New Roman"/>
          <w:sz w:val="24"/>
          <w:szCs w:val="24"/>
        </w:rPr>
        <w:t xml:space="preserve">, distributed across one of the 36 patients (2.8%). Given the small number of detected variants in the longitudinal sub-cohort, trajectories are reported as an illustrative case-series rather than as estimates of a persistence rate. </w:t>
      </w:r>
      <w:r w:rsidR="00D42802">
        <w:rPr>
          <w:rFonts w:ascii="Times New Roman" w:eastAsiaTheme="minorEastAsia" w:hAnsi="Times New Roman" w:cs="Times New Roman"/>
          <w:sz w:val="24"/>
          <w:szCs w:val="24"/>
        </w:rPr>
        <w:t xml:space="preserve">M0, pre-treatment; M1, four weeks on treatment; M2, eight weeks on treatment. </w:t>
      </w:r>
    </w:p>
    <w:p w14:paraId="30F63D51" w14:textId="5AEFDC2F" w:rsidR="00C028FF" w:rsidRDefault="00C028FF" w:rsidP="00D42802">
      <w:pPr>
        <w:spacing w:line="240" w:lineRule="auto"/>
        <w:ind w:firstLine="0"/>
        <w:jc w:val="left"/>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Main Tables</w:t>
      </w:r>
    </w:p>
    <w:p w14:paraId="042CBC41" w14:textId="279B8380" w:rsidR="00C028FF" w:rsidRDefault="00C028FF" w:rsidP="006133A4">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Table 1. Calibrated iSNV detection thresholds and bootstrap selection stability. </w:t>
      </w:r>
      <w:r>
        <w:rPr>
          <w:rFonts w:ascii="Times New Roman" w:eastAsiaTheme="minorEastAsia" w:hAnsi="Times New Roman" w:cs="Times New Roman"/>
          <w:sz w:val="24"/>
          <w:szCs w:val="24"/>
        </w:rPr>
        <w:t>Three sensitivity tiers from the replicate</w:t>
      </w:r>
      <w:r w:rsidR="006133A4" w:rsidRPr="006133A4">
        <w:rPr>
          <w:rFonts w:ascii="Times New Roman" w:eastAsiaTheme="minorEastAsia" w:hAnsi="Times New Roman" w:cs="Times New Roman"/>
          <w:sz w:val="24"/>
          <w:szCs w:val="24"/>
        </w:rPr>
        <w:t xml:space="preserve">-anchored, lexicographic, bootstrap-stabilized calibration: Primary (the bootstrap modal cell, used for headline analyses), Looser (axis-wise dominated by the Primary in the permissive direction), and Tighter (axis-wise dominated by the Primary in the restrictive direction). Concordance metrics (proportion of replicate pairs with both specimens empty, median Jaccard, median bidirectional confirmation) are computed across </w:t>
      </w:r>
      <w:r w:rsidR="006133A4" w:rsidRPr="006133A4">
        <w:rPr>
          <w:rFonts w:ascii="Times New Roman" w:eastAsiaTheme="minorEastAsia" w:hAnsi="Times New Roman" w:cs="Times New Roman"/>
          <w:i/>
          <w:iCs/>
          <w:sz w:val="24"/>
          <w:szCs w:val="24"/>
        </w:rPr>
        <w:t>n_eval_pairs</w:t>
      </w:r>
      <w:r w:rsidR="006133A4" w:rsidRPr="006133A4">
        <w:rPr>
          <w:rFonts w:ascii="Times New Roman" w:eastAsiaTheme="minorEastAsia" w:hAnsi="Times New Roman" w:cs="Times New Roman"/>
          <w:sz w:val="24"/>
          <w:szCs w:val="24"/>
        </w:rPr>
        <w:t xml:space="preserve"> evaluable within-visit pairs at the corresponding cell. Bootstrap selection frequency (</w:t>
      </w:r>
      <w:r w:rsidR="006133A4" w:rsidRPr="006133A4">
        <w:rPr>
          <w:rFonts w:ascii="Times New Roman" w:eastAsiaTheme="minorEastAsia" w:hAnsi="Times New Roman" w:cs="Times New Roman"/>
          <w:i/>
          <w:iCs/>
          <w:sz w:val="24"/>
          <w:szCs w:val="24"/>
        </w:rPr>
        <w:t>P_bootstrap</w:t>
      </w:r>
      <w:r w:rsidR="006133A4" w:rsidRPr="006133A4">
        <w:rPr>
          <w:rFonts w:ascii="Times New Roman" w:eastAsiaTheme="minorEastAsia" w:hAnsi="Times New Roman" w:cs="Times New Roman"/>
          <w:sz w:val="24"/>
          <w:szCs w:val="24"/>
        </w:rPr>
        <w:t>) reports the proportion of B = 1,000 nonparametric pair-level resamples in which Stage 1 lexicographic selection returned the cell shown. DP, read depth; AD1, alternate-allele read support; MAF, minor-allele frequency.</w:t>
      </w:r>
    </w:p>
    <w:p w14:paraId="33FD9F0E" w14:textId="3F8456F4" w:rsidR="006133A4" w:rsidRDefault="00EF5202" w:rsidP="006133A4">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Table 2. Per-patient detectable within-host diversity at the Primary calibration tier, overall and stratified. </w:t>
      </w:r>
      <w:r>
        <w:rPr>
          <w:rFonts w:ascii="Times New Roman" w:eastAsiaTheme="minorEastAsia" w:hAnsi="Times New Roman" w:cs="Times New Roman"/>
          <w:sz w:val="24"/>
          <w:szCs w:val="24"/>
        </w:rPr>
        <w:t xml:space="preserve">Number of patients with at least one iSNV passing the Primary tier across any visit (M0, M1, or M2), </w:t>
      </w:r>
      <w:r w:rsidR="00ED496E" w:rsidRPr="00ED496E">
        <w:rPr>
          <w:rFonts w:ascii="Times New Roman" w:eastAsiaTheme="minorEastAsia" w:hAnsi="Times New Roman" w:cs="Times New Roman"/>
          <w:sz w:val="24"/>
          <w:szCs w:val="24"/>
        </w:rPr>
        <w:t xml:space="preserve">denominator, prevalence, and Wilson 95% confidence interval. Overall and stratified by HIV status, sex, age band (≥ 25 vs &lt; 25 years), </w:t>
      </w:r>
      <w:r w:rsidR="00435CB9">
        <w:rPr>
          <w:rFonts w:ascii="Times New Roman" w:eastAsiaTheme="minorEastAsia" w:hAnsi="Times New Roman" w:cs="Times New Roman"/>
          <w:sz w:val="24"/>
          <w:szCs w:val="24"/>
        </w:rPr>
        <w:t xml:space="preserve">hemoptysis, </w:t>
      </w:r>
      <w:r w:rsidR="00ED496E" w:rsidRPr="00ED496E">
        <w:rPr>
          <w:rFonts w:ascii="Times New Roman" w:eastAsiaTheme="minorEastAsia" w:hAnsi="Times New Roman" w:cs="Times New Roman"/>
          <w:sz w:val="24"/>
          <w:szCs w:val="24"/>
        </w:rPr>
        <w:t xml:space="preserve">and </w:t>
      </w:r>
      <w:r w:rsidR="00ED496E" w:rsidRPr="00C13526">
        <w:rPr>
          <w:rFonts w:ascii="Times New Roman" w:eastAsiaTheme="minorEastAsia" w:hAnsi="Times New Roman" w:cs="Times New Roman"/>
          <w:i/>
          <w:iCs/>
          <w:sz w:val="24"/>
          <w:szCs w:val="24"/>
        </w:rPr>
        <w:t>Mycobacterium tuberculosis</w:t>
      </w:r>
      <w:r w:rsidR="00ED496E" w:rsidRPr="00ED496E">
        <w:rPr>
          <w:rFonts w:ascii="Times New Roman" w:eastAsiaTheme="minorEastAsia" w:hAnsi="Times New Roman" w:cs="Times New Roman"/>
          <w:sz w:val="24"/>
          <w:szCs w:val="24"/>
        </w:rPr>
        <w:t xml:space="preserve"> lineage. Strata containing fewer than five patients are reported for completeness but not interpreted; subgroup comparisons are descriptive and not used for inferential testing. </w:t>
      </w:r>
    </w:p>
    <w:p w14:paraId="39B0D604" w14:textId="2F70ED5B" w:rsidR="00ED496E" w:rsidRDefault="005D597C" w:rsidP="005D597C">
      <w:pPr>
        <w:spacing w:line="240" w:lineRule="auto"/>
        <w:ind w:firstLine="0"/>
        <w:rPr>
          <w:rFonts w:ascii="Times New Roman" w:eastAsiaTheme="minorEastAsia" w:hAnsi="Times New Roman" w:cs="Times New Roman"/>
          <w:sz w:val="24"/>
          <w:szCs w:val="24"/>
        </w:rPr>
      </w:pPr>
      <w:r w:rsidRPr="005D597C">
        <w:rPr>
          <w:rFonts w:ascii="Times New Roman" w:eastAsiaTheme="minorEastAsia" w:hAnsi="Times New Roman" w:cs="Times New Roman"/>
          <w:b/>
          <w:bCs/>
          <w:sz w:val="24"/>
          <w:szCs w:val="24"/>
        </w:rPr>
        <w:lastRenderedPageBreak/>
        <w:t>Table 3. Logistic regression of patient-level iSNV detection on demographic covariates at the Primary tier.</w:t>
      </w:r>
      <w:r>
        <w:rPr>
          <w:rFonts w:ascii="Times New Roman" w:eastAsiaTheme="minorEastAsia" w:hAnsi="Times New Roman" w:cs="Times New Roman"/>
          <w:b/>
          <w:bCs/>
          <w:sz w:val="24"/>
          <w:szCs w:val="24"/>
        </w:rPr>
        <w:t xml:space="preserve"> </w:t>
      </w:r>
      <w:r w:rsidRPr="005D597C">
        <w:rPr>
          <w:rFonts w:ascii="Times New Roman" w:eastAsiaTheme="minorEastAsia" w:hAnsi="Times New Roman" w:cs="Times New Roman"/>
          <w:sz w:val="24"/>
          <w:szCs w:val="24"/>
        </w:rPr>
        <w:t>Odds ratios and 95% confidence intervals from Firth's penalized likelihood logistic regression (</w:t>
      </w:r>
      <w:r w:rsidRPr="005D597C">
        <w:rPr>
          <w:rFonts w:ascii="Times New Roman" w:eastAsiaTheme="minorEastAsia" w:hAnsi="Times New Roman" w:cs="Times New Roman"/>
          <w:i/>
          <w:iCs/>
          <w:sz w:val="24"/>
          <w:szCs w:val="24"/>
        </w:rPr>
        <w:t>logistf),</w:t>
      </w:r>
      <w:r w:rsidRPr="005D597C">
        <w:rPr>
          <w:rFonts w:ascii="Times New Roman" w:eastAsiaTheme="minorEastAsia" w:hAnsi="Times New Roman" w:cs="Times New Roman"/>
          <w:sz w:val="24"/>
          <w:szCs w:val="24"/>
        </w:rPr>
        <w:t xml:space="preserve"> with maximum-likelihood (MLE) estimates retained alongside as a transparency check. Detection at the Primary tier (any-visit collapse) was regressed on HIV-positive status, female sex, and age ≥ 25 years. Events per variable: 16/3 at Looser and Primary, 15/3 at Tighter. Confidence intervals are reported as ranges and interpreted descriptively as the range of effect sizes compatible with the data; they are not used as significance tests. Firth, </w:t>
      </w:r>
      <w:r w:rsidR="009D1966" w:rsidRPr="005D597C">
        <w:rPr>
          <w:rFonts w:ascii="Times New Roman" w:eastAsiaTheme="minorEastAsia" w:hAnsi="Times New Roman" w:cs="Times New Roman"/>
          <w:sz w:val="24"/>
          <w:szCs w:val="24"/>
        </w:rPr>
        <w:t>penalized</w:t>
      </w:r>
      <w:r w:rsidRPr="005D597C">
        <w:rPr>
          <w:rFonts w:ascii="Times New Roman" w:eastAsiaTheme="minorEastAsia" w:hAnsi="Times New Roman" w:cs="Times New Roman"/>
          <w:sz w:val="24"/>
          <w:szCs w:val="24"/>
        </w:rPr>
        <w:t xml:space="preserve"> likelihood; MLE, maximum likelihood; </w:t>
      </w:r>
      <w:proofErr w:type="gramStart"/>
      <w:r w:rsidRPr="005D597C">
        <w:rPr>
          <w:rFonts w:ascii="Times New Roman" w:eastAsiaTheme="minorEastAsia" w:hAnsi="Times New Roman" w:cs="Times New Roman"/>
          <w:sz w:val="24"/>
          <w:szCs w:val="24"/>
        </w:rPr>
        <w:t>OR,</w:t>
      </w:r>
      <w:proofErr w:type="gramEnd"/>
      <w:r w:rsidRPr="005D597C">
        <w:rPr>
          <w:rFonts w:ascii="Times New Roman" w:eastAsiaTheme="minorEastAsia" w:hAnsi="Times New Roman" w:cs="Times New Roman"/>
          <w:sz w:val="24"/>
          <w:szCs w:val="24"/>
        </w:rPr>
        <w:t xml:space="preserve"> odds ratio.</w:t>
      </w:r>
    </w:p>
    <w:p w14:paraId="17DCA021" w14:textId="77777777" w:rsidR="009D1966" w:rsidRPr="009D1966" w:rsidRDefault="009D1966" w:rsidP="009D1966">
      <w:pPr>
        <w:spacing w:line="278" w:lineRule="auto"/>
        <w:ind w:firstLine="0"/>
        <w:jc w:val="left"/>
        <w:rPr>
          <w:rFonts w:ascii="Times New Roman" w:eastAsiaTheme="minorEastAsia" w:hAnsi="Times New Roman" w:cs="Times New Roman"/>
          <w:b/>
          <w:bCs/>
          <w:sz w:val="24"/>
          <w:szCs w:val="24"/>
        </w:rPr>
      </w:pPr>
      <w:r w:rsidRPr="009D1966">
        <w:rPr>
          <w:rFonts w:ascii="Times New Roman" w:eastAsiaTheme="minorEastAsia" w:hAnsi="Times New Roman" w:cs="Times New Roman"/>
          <w:b/>
          <w:bCs/>
          <w:sz w:val="24"/>
          <w:szCs w:val="24"/>
        </w:rPr>
        <w:t>Supplementary Figures</w:t>
      </w:r>
    </w:p>
    <w:p w14:paraId="26ED1AC0" w14:textId="77777777" w:rsidR="000A35BC" w:rsidRPr="00EC3955" w:rsidRDefault="009D1966" w:rsidP="00EC3955">
      <w:pPr>
        <w:spacing w:line="240" w:lineRule="auto"/>
        <w:ind w:firstLine="0"/>
        <w:rPr>
          <w:rFonts w:ascii="Times New Roman" w:eastAsiaTheme="minorEastAsia" w:hAnsi="Times New Roman" w:cs="Times New Roman"/>
          <w:sz w:val="24"/>
          <w:szCs w:val="24"/>
        </w:rPr>
      </w:pPr>
      <w:r w:rsidRPr="009D1966">
        <w:rPr>
          <w:rFonts w:ascii="Times New Roman" w:eastAsiaTheme="minorEastAsia" w:hAnsi="Times New Roman" w:cs="Times New Roman"/>
          <w:b/>
          <w:bCs/>
          <w:sz w:val="24"/>
          <w:szCs w:val="24"/>
        </w:rPr>
        <w:t>Figure S1. Depth-concordance diagnostic at all three calibration tiers.</w:t>
      </w:r>
      <w:r>
        <w:rPr>
          <w:rFonts w:ascii="Times New Roman" w:eastAsiaTheme="minorEastAsia" w:hAnsi="Times New Roman" w:cs="Times New Roman"/>
          <w:b/>
          <w:bCs/>
          <w:sz w:val="24"/>
          <w:szCs w:val="24"/>
        </w:rPr>
        <w:t xml:space="preserve"> </w:t>
      </w:r>
      <w:r w:rsidRPr="00EC3955">
        <w:rPr>
          <w:rFonts w:ascii="Times New Roman" w:eastAsiaTheme="minorEastAsia" w:hAnsi="Times New Roman" w:cs="Times New Roman"/>
          <w:sz w:val="24"/>
          <w:szCs w:val="24"/>
        </w:rPr>
        <w:t>Replicate-pair concordance against pair minimum sequencing coverage, regressed with patient-clustered standard errors; 169 within-visit replicate pairs nesting in 67 patients. (a) Probability that both specimens were silent at the candidate cell (155/169, 91.7% across tiers); slope per +10× depth not significantly different from zero at any tier (slope 0.087, p = 0.15), consistent with a stringency-driven detection floor. (b) Jaccard similarity among pairs in which both specimens contributed at least one passing call (six evaluable pairs); slope per +10× depth positive at all three tiers (Looser 0.030, p = 0.04; Primary 0.029, p = 0.05; Tighter 0.034, p = 0.02), interpreted as exploratory given the small evaluable sample. Slopes expressed per +10× coverage increment; two-sided p-values from cluster-robust Wald tests.</w:t>
      </w:r>
    </w:p>
    <w:p w14:paraId="29FD1BA1" w14:textId="77777777" w:rsidR="00EC3955" w:rsidRPr="00EC3955" w:rsidRDefault="00EC3955" w:rsidP="00EC3955">
      <w:pPr>
        <w:spacing w:before="100" w:beforeAutospacing="1" w:after="100" w:afterAutospacing="1" w:line="240" w:lineRule="auto"/>
        <w:ind w:firstLine="0"/>
        <w:jc w:val="left"/>
        <w:outlineLvl w:val="2"/>
        <w:rPr>
          <w:rFonts w:ascii="Times New Roman" w:eastAsia="Times New Roman" w:hAnsi="Times New Roman" w:cs="Times New Roman"/>
          <w:b/>
          <w:bCs/>
          <w:color w:val="000000"/>
          <w:kern w:val="0"/>
          <w:sz w:val="27"/>
          <w:szCs w:val="27"/>
          <w14:ligatures w14:val="none"/>
        </w:rPr>
      </w:pPr>
      <w:r w:rsidRPr="00EC3955">
        <w:rPr>
          <w:rFonts w:ascii="Times New Roman" w:eastAsia="Times New Roman" w:hAnsi="Times New Roman" w:cs="Times New Roman"/>
          <w:b/>
          <w:bCs/>
          <w:color w:val="000000"/>
          <w:kern w:val="0"/>
          <w:sz w:val="27"/>
          <w:szCs w:val="27"/>
          <w14:ligatures w14:val="none"/>
        </w:rPr>
        <w:t>Supplementary Tables</w:t>
      </w:r>
    </w:p>
    <w:p w14:paraId="6CCF1E63" w14:textId="73FBAF13" w:rsidR="00EC3955" w:rsidRDefault="00EC3955" w:rsidP="00EC3955">
      <w:pPr>
        <w:spacing w:before="100" w:beforeAutospacing="1" w:after="100" w:afterAutospacing="1" w:line="240" w:lineRule="auto"/>
        <w:ind w:firstLine="0"/>
        <w:rPr>
          <w:rFonts w:ascii="Times New Roman" w:eastAsia="Times New Roman" w:hAnsi="Times New Roman" w:cs="Times New Roman"/>
          <w:color w:val="000000"/>
          <w:kern w:val="0"/>
          <w:sz w:val="24"/>
          <w:szCs w:val="24"/>
          <w14:ligatures w14:val="none"/>
        </w:rPr>
      </w:pPr>
      <w:r w:rsidRPr="00EC3955">
        <w:rPr>
          <w:rFonts w:ascii="Times New Roman" w:eastAsia="Times New Roman" w:hAnsi="Times New Roman" w:cs="Times New Roman"/>
          <w:b/>
          <w:bCs/>
          <w:color w:val="000000"/>
          <w:kern w:val="0"/>
          <w:sz w:val="24"/>
          <w:szCs w:val="24"/>
          <w14:ligatures w14:val="none"/>
        </w:rPr>
        <w:t>Table S1. Cohort characteristics.</w:t>
      </w:r>
      <w:r>
        <w:rPr>
          <w:rFonts w:ascii="Times New Roman" w:eastAsia="Times New Roman" w:hAnsi="Times New Roman" w:cs="Times New Roman"/>
          <w:b/>
          <w:bCs/>
          <w:color w:val="000000"/>
          <w:kern w:val="0"/>
          <w:sz w:val="24"/>
          <w:szCs w:val="24"/>
          <w14:ligatures w14:val="none"/>
        </w:rPr>
        <w:t xml:space="preserve"> </w:t>
      </w:r>
      <w:r w:rsidRPr="00EC3955">
        <w:rPr>
          <w:rFonts w:ascii="Times New Roman" w:eastAsia="Times New Roman" w:hAnsi="Times New Roman" w:cs="Times New Roman"/>
          <w:color w:val="000000"/>
          <w:kern w:val="0"/>
          <w:sz w:val="24"/>
          <w:szCs w:val="24"/>
          <w14:ligatures w14:val="none"/>
        </w:rPr>
        <w:t xml:space="preserve">Demographic, clinical, and sequencing characteristics of the 97 patients and 282 cultured pre-treatment sputum specimens included in the analytic frame. Continuous variables </w:t>
      </w:r>
      <w:r w:rsidR="00BB5132" w:rsidRPr="00EC3955">
        <w:rPr>
          <w:rFonts w:ascii="Times New Roman" w:eastAsia="Times New Roman" w:hAnsi="Times New Roman" w:cs="Times New Roman"/>
          <w:color w:val="000000"/>
          <w:kern w:val="0"/>
          <w:sz w:val="24"/>
          <w:szCs w:val="24"/>
          <w14:ligatures w14:val="none"/>
        </w:rPr>
        <w:t>summarized</w:t>
      </w:r>
      <w:r w:rsidRPr="00EC3955">
        <w:rPr>
          <w:rFonts w:ascii="Times New Roman" w:eastAsia="Times New Roman" w:hAnsi="Times New Roman" w:cs="Times New Roman"/>
          <w:color w:val="000000"/>
          <w:kern w:val="0"/>
          <w:sz w:val="24"/>
          <w:szCs w:val="24"/>
          <w14:ligatures w14:val="none"/>
        </w:rPr>
        <w:t xml:space="preserve"> as median (interquartile range); categorical variables as count (percentage). Sample-level coverage reported as the median of per-specimen depths. Lineage assignment based on consensus genotype calls.</w:t>
      </w:r>
    </w:p>
    <w:p w14:paraId="3C6C6B8E" w14:textId="63307AE0" w:rsidR="00FD6A03" w:rsidRDefault="00FD6A03" w:rsidP="00FD6A03">
      <w:pPr>
        <w:pStyle w:val="font-claude-response-body"/>
        <w:jc w:val="both"/>
        <w:rPr>
          <w:color w:val="000000"/>
        </w:rPr>
      </w:pPr>
      <w:r>
        <w:rPr>
          <w:rStyle w:val="Strong"/>
          <w:color w:val="000000"/>
        </w:rPr>
        <w:t xml:space="preserve">Table S2. Longitudinal iSNV persistence by HIV status. </w:t>
      </w:r>
      <w:r>
        <w:rPr>
          <w:color w:val="000000"/>
        </w:rPr>
        <w:t>Persistence summary in the 36 patients eligible for longitudinal description (33 HIV-negative, 3 HIV-positive). Reported as descriptive frequencies without formal interval estimation; small numerator and denominator sizes preclude inferential interpretation.</w:t>
      </w:r>
    </w:p>
    <w:p w14:paraId="60068BC2" w14:textId="11094334" w:rsidR="00A73162" w:rsidRDefault="00A73162" w:rsidP="00A73162">
      <w:pPr>
        <w:pStyle w:val="font-claude-response-body"/>
        <w:jc w:val="both"/>
        <w:rPr>
          <w:color w:val="000000"/>
        </w:rPr>
      </w:pPr>
      <w:r>
        <w:rPr>
          <w:rStyle w:val="Strong"/>
          <w:color w:val="000000"/>
        </w:rPr>
        <w:t xml:space="preserve">Table S3. Distribution of iSNV trajectory categories by HIV status. </w:t>
      </w:r>
      <w:r>
        <w:rPr>
          <w:color w:val="000000"/>
        </w:rPr>
        <w:t>Per-iSNV trajectory category (M0-only, M0+M1, M0+M2, M0+M1+M2) by HIV status of the contributing patient, with counts and proportions. Trajectory category is determined by the set of visits at which the iSNV (defined by position–reference–alternate triplet) is detected under the Primary calibration rule.</w:t>
      </w:r>
    </w:p>
    <w:p w14:paraId="2D20C0F1" w14:textId="1EAF349C" w:rsidR="00A73162" w:rsidRDefault="00A73162" w:rsidP="00A73162">
      <w:pPr>
        <w:pStyle w:val="font-claude-response-body"/>
        <w:jc w:val="both"/>
        <w:rPr>
          <w:color w:val="000000"/>
        </w:rPr>
      </w:pPr>
      <w:r>
        <w:rPr>
          <w:rStyle w:val="Strong"/>
          <w:color w:val="000000"/>
        </w:rPr>
        <w:t xml:space="preserve">Table S5. Longitudinal iSNV persistence by baseline minor-allele frequency bin. </w:t>
      </w:r>
      <w:r>
        <w:rPr>
          <w:color w:val="000000"/>
        </w:rPr>
        <w:t>Per-iSNV persistence rate in pre-defined baseline minor-allele frequency bins ([0.02, 0.05) and [0.25, 0.45]) by HIV status, showing M0 iSNV count, persistent iSNV count, and per-iSNV persistence rate. Persistence is concentrated in the upper MAF bin (2/3) versus the lower MAF bin (0/3) at baseline. Bin definitions match the calibration grid; intermediate bins are empty in this sub-cohort and are omitted.</w:t>
      </w:r>
    </w:p>
    <w:p w14:paraId="0A425A3E" w14:textId="01A5BB48" w:rsidR="00097717" w:rsidRPr="00E24C2E" w:rsidRDefault="00E24C2E" w:rsidP="00F121C1">
      <w:pPr>
        <w:spacing w:after="0" w:line="480" w:lineRule="auto"/>
        <w:ind w:firstLine="0"/>
        <w:jc w:val="left"/>
        <w:rPr>
          <w:rFonts w:ascii="Times New Roman" w:eastAsiaTheme="minorEastAsia" w:hAnsi="Times New Roman" w:cs="Times New Roman"/>
          <w:b/>
          <w:bCs/>
          <w:sz w:val="24"/>
          <w:szCs w:val="24"/>
        </w:rPr>
      </w:pPr>
      <w:r w:rsidRPr="00E24C2E">
        <w:rPr>
          <w:rFonts w:ascii="Times New Roman" w:eastAsiaTheme="minorEastAsia" w:hAnsi="Times New Roman" w:cs="Times New Roman"/>
          <w:b/>
          <w:bCs/>
          <w:sz w:val="24"/>
          <w:szCs w:val="24"/>
        </w:rPr>
        <w:lastRenderedPageBreak/>
        <w:t>References</w:t>
      </w:r>
    </w:p>
    <w:p w14:paraId="63900E92" w14:textId="77777777" w:rsidR="009F0583" w:rsidRPr="009F0583" w:rsidRDefault="00E24C2E" w:rsidP="00AE4F71">
      <w:pPr>
        <w:pStyle w:val="Bibliography"/>
        <w:spacing w:after="120"/>
        <w:ind w:left="259" w:hanging="259"/>
        <w:rPr>
          <w:rFonts w:ascii="Times New Roman" w:hAnsi="Times New Roman" w:cs="Times New Roman"/>
          <w:sz w:val="24"/>
        </w:rPr>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9F0583" w:rsidRPr="009F0583">
        <w:rPr>
          <w:rFonts w:ascii="Times New Roman" w:hAnsi="Times New Roman" w:cs="Times New Roman"/>
          <w:sz w:val="24"/>
        </w:rPr>
        <w:t>1</w:t>
      </w:r>
      <w:r w:rsidR="009F0583" w:rsidRPr="009F0583">
        <w:rPr>
          <w:rFonts w:ascii="Times New Roman" w:hAnsi="Times New Roman" w:cs="Times New Roman"/>
          <w:sz w:val="24"/>
        </w:rPr>
        <w:tab/>
        <w:t xml:space="preserve">Lieberman TD, Wilson D, Misra R, Xiong LL, Moodley P, Cohen T, </w:t>
      </w:r>
      <w:r w:rsidR="009F0583" w:rsidRPr="009F0583">
        <w:rPr>
          <w:rFonts w:ascii="Times New Roman" w:hAnsi="Times New Roman" w:cs="Times New Roman"/>
          <w:i/>
          <w:iCs/>
          <w:sz w:val="24"/>
        </w:rPr>
        <w:t>et al.</w:t>
      </w:r>
      <w:r w:rsidR="009F0583" w:rsidRPr="009F0583">
        <w:rPr>
          <w:rFonts w:ascii="Times New Roman" w:hAnsi="Times New Roman" w:cs="Times New Roman"/>
          <w:sz w:val="24"/>
        </w:rPr>
        <w:t xml:space="preserve"> Genomic diversity in autopsy samples reveals within-host dissemination of HIV-associated </w:t>
      </w:r>
      <w:r w:rsidR="009F0583" w:rsidRPr="009F0583">
        <w:rPr>
          <w:rFonts w:ascii="Times New Roman" w:hAnsi="Times New Roman" w:cs="Times New Roman"/>
          <w:i/>
          <w:iCs/>
          <w:sz w:val="24"/>
        </w:rPr>
        <w:t>Mycobacterium tuberculosis</w:t>
      </w:r>
      <w:r w:rsidR="009F0583" w:rsidRPr="009F0583">
        <w:rPr>
          <w:rFonts w:ascii="Times New Roman" w:hAnsi="Times New Roman" w:cs="Times New Roman"/>
          <w:sz w:val="24"/>
        </w:rPr>
        <w:t xml:space="preserve">. </w:t>
      </w:r>
      <w:r w:rsidR="009F0583" w:rsidRPr="009F0583">
        <w:rPr>
          <w:rFonts w:ascii="Times New Roman" w:hAnsi="Times New Roman" w:cs="Times New Roman"/>
          <w:i/>
          <w:iCs/>
          <w:sz w:val="24"/>
        </w:rPr>
        <w:t>Nature Medicine</w:t>
      </w:r>
      <w:r w:rsidR="009F0583" w:rsidRPr="009F0583">
        <w:rPr>
          <w:rFonts w:ascii="Times New Roman" w:hAnsi="Times New Roman" w:cs="Times New Roman"/>
          <w:sz w:val="24"/>
        </w:rPr>
        <w:t xml:space="preserve"> 2016;</w:t>
      </w:r>
      <w:r w:rsidR="009F0583" w:rsidRPr="009F0583">
        <w:rPr>
          <w:rFonts w:ascii="Times New Roman" w:hAnsi="Times New Roman" w:cs="Times New Roman"/>
          <w:b/>
          <w:bCs/>
          <w:sz w:val="24"/>
        </w:rPr>
        <w:t>22</w:t>
      </w:r>
      <w:r w:rsidR="009F0583" w:rsidRPr="009F0583">
        <w:rPr>
          <w:rFonts w:ascii="Times New Roman" w:hAnsi="Times New Roman" w:cs="Times New Roman"/>
          <w:sz w:val="24"/>
        </w:rPr>
        <w:t>:1470–4. https://doi.org/10.1038/nm.4205.</w:t>
      </w:r>
    </w:p>
    <w:p w14:paraId="288BDD65"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2</w:t>
      </w:r>
      <w:r w:rsidRPr="009F0583">
        <w:rPr>
          <w:rFonts w:ascii="Times New Roman" w:hAnsi="Times New Roman" w:cs="Times New Roman"/>
          <w:sz w:val="24"/>
        </w:rPr>
        <w:tab/>
        <w:t xml:space="preserve">Trauner A, Liu Q, Via LE, Liu X, Ruan X, Liang L, </w:t>
      </w:r>
      <w:r w:rsidRPr="009F0583">
        <w:rPr>
          <w:rFonts w:ascii="Times New Roman" w:hAnsi="Times New Roman" w:cs="Times New Roman"/>
          <w:i/>
          <w:iCs/>
          <w:sz w:val="24"/>
        </w:rPr>
        <w:t>et al.</w:t>
      </w:r>
      <w:r w:rsidRPr="009F0583">
        <w:rPr>
          <w:rFonts w:ascii="Times New Roman" w:hAnsi="Times New Roman" w:cs="Times New Roman"/>
          <w:sz w:val="24"/>
        </w:rPr>
        <w:t xml:space="preserve"> The within-host population dynamics of Mycobacterium tuberculosis vary with treatment efficacy. </w:t>
      </w:r>
      <w:r w:rsidRPr="009F0583">
        <w:rPr>
          <w:rFonts w:ascii="Times New Roman" w:hAnsi="Times New Roman" w:cs="Times New Roman"/>
          <w:i/>
          <w:iCs/>
          <w:sz w:val="24"/>
        </w:rPr>
        <w:t>Genome Biol</w:t>
      </w:r>
      <w:r w:rsidRPr="009F0583">
        <w:rPr>
          <w:rFonts w:ascii="Times New Roman" w:hAnsi="Times New Roman" w:cs="Times New Roman"/>
          <w:sz w:val="24"/>
        </w:rPr>
        <w:t xml:space="preserve"> 2017;</w:t>
      </w:r>
      <w:r w:rsidRPr="009F0583">
        <w:rPr>
          <w:rFonts w:ascii="Times New Roman" w:hAnsi="Times New Roman" w:cs="Times New Roman"/>
          <w:b/>
          <w:bCs/>
          <w:sz w:val="24"/>
        </w:rPr>
        <w:t>18</w:t>
      </w:r>
      <w:r w:rsidRPr="009F0583">
        <w:rPr>
          <w:rFonts w:ascii="Times New Roman" w:hAnsi="Times New Roman" w:cs="Times New Roman"/>
          <w:sz w:val="24"/>
        </w:rPr>
        <w:t>:71. https://doi.org/10.1186/s13059-017-1196-0.</w:t>
      </w:r>
    </w:p>
    <w:p w14:paraId="18B923D1"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3</w:t>
      </w:r>
      <w:r w:rsidRPr="009F0583">
        <w:rPr>
          <w:rFonts w:ascii="Times New Roman" w:hAnsi="Times New Roman" w:cs="Times New Roman"/>
          <w:sz w:val="24"/>
        </w:rPr>
        <w:tab/>
        <w:t xml:space="preserve">O’Neill MB, Mortimer TD, Pepperell CS. Diversity of Mycobacterium tuberculosis across Evolutionary Scales. </w:t>
      </w:r>
      <w:r w:rsidRPr="009F0583">
        <w:rPr>
          <w:rFonts w:ascii="Times New Roman" w:hAnsi="Times New Roman" w:cs="Times New Roman"/>
          <w:i/>
          <w:iCs/>
          <w:sz w:val="24"/>
        </w:rPr>
        <w:t>PLoS Pathog</w:t>
      </w:r>
      <w:r w:rsidRPr="009F0583">
        <w:rPr>
          <w:rFonts w:ascii="Times New Roman" w:hAnsi="Times New Roman" w:cs="Times New Roman"/>
          <w:sz w:val="24"/>
        </w:rPr>
        <w:t xml:space="preserve"> 2015;</w:t>
      </w:r>
      <w:r w:rsidRPr="009F0583">
        <w:rPr>
          <w:rFonts w:ascii="Times New Roman" w:hAnsi="Times New Roman" w:cs="Times New Roman"/>
          <w:b/>
          <w:bCs/>
          <w:sz w:val="24"/>
        </w:rPr>
        <w:t>11</w:t>
      </w:r>
      <w:r w:rsidRPr="009F0583">
        <w:rPr>
          <w:rFonts w:ascii="Times New Roman" w:hAnsi="Times New Roman" w:cs="Times New Roman"/>
          <w:sz w:val="24"/>
        </w:rPr>
        <w:t>:e1005257. https://doi.org/10.1371/journal.ppat.1005257.</w:t>
      </w:r>
    </w:p>
    <w:p w14:paraId="119FBE47"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4</w:t>
      </w:r>
      <w:r w:rsidRPr="009F0583">
        <w:rPr>
          <w:rFonts w:ascii="Times New Roman" w:hAnsi="Times New Roman" w:cs="Times New Roman"/>
          <w:sz w:val="24"/>
        </w:rPr>
        <w:tab/>
        <w:t xml:space="preserve">Black P, de Vos M, Louw G, van der Merwe R, Dippenaar A, Streicher E, </w:t>
      </w:r>
      <w:r w:rsidRPr="009F0583">
        <w:rPr>
          <w:rFonts w:ascii="Times New Roman" w:hAnsi="Times New Roman" w:cs="Times New Roman"/>
          <w:i/>
          <w:iCs/>
          <w:sz w:val="24"/>
        </w:rPr>
        <w:t>et al.</w:t>
      </w:r>
      <w:r w:rsidRPr="009F0583">
        <w:rPr>
          <w:rFonts w:ascii="Times New Roman" w:hAnsi="Times New Roman" w:cs="Times New Roman"/>
          <w:sz w:val="24"/>
        </w:rPr>
        <w:t xml:space="preserve"> Whole genome sequencing reveals genomic heterogeneity and antibiotic purification in Mycobacterium tuberculosis isolates. </w:t>
      </w:r>
      <w:r w:rsidRPr="009F0583">
        <w:rPr>
          <w:rFonts w:ascii="Times New Roman" w:hAnsi="Times New Roman" w:cs="Times New Roman"/>
          <w:i/>
          <w:iCs/>
          <w:sz w:val="24"/>
        </w:rPr>
        <w:t>BMC Genomics</w:t>
      </w:r>
      <w:r w:rsidRPr="009F0583">
        <w:rPr>
          <w:rFonts w:ascii="Times New Roman" w:hAnsi="Times New Roman" w:cs="Times New Roman"/>
          <w:sz w:val="24"/>
        </w:rPr>
        <w:t xml:space="preserve"> 2015;</w:t>
      </w:r>
      <w:r w:rsidRPr="009F0583">
        <w:rPr>
          <w:rFonts w:ascii="Times New Roman" w:hAnsi="Times New Roman" w:cs="Times New Roman"/>
          <w:b/>
          <w:bCs/>
          <w:sz w:val="24"/>
        </w:rPr>
        <w:t>16</w:t>
      </w:r>
      <w:r w:rsidRPr="009F0583">
        <w:rPr>
          <w:rFonts w:ascii="Times New Roman" w:hAnsi="Times New Roman" w:cs="Times New Roman"/>
          <w:sz w:val="24"/>
        </w:rPr>
        <w:t>:. https://doi.org/10.1186/s12864-015-2067-2.</w:t>
      </w:r>
    </w:p>
    <w:p w14:paraId="385369DC"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5</w:t>
      </w:r>
      <w:r w:rsidRPr="009F0583">
        <w:rPr>
          <w:rFonts w:ascii="Times New Roman" w:hAnsi="Times New Roman" w:cs="Times New Roman"/>
          <w:sz w:val="24"/>
        </w:rPr>
        <w:tab/>
        <w:t xml:space="preserve">Sobkowiak B, Glynn JR, Houben RMGJ, Mallard K, Phelan JE, Guerra-Assunção JA, </w:t>
      </w:r>
      <w:r w:rsidRPr="009F0583">
        <w:rPr>
          <w:rFonts w:ascii="Times New Roman" w:hAnsi="Times New Roman" w:cs="Times New Roman"/>
          <w:i/>
          <w:iCs/>
          <w:sz w:val="24"/>
        </w:rPr>
        <w:t>et al.</w:t>
      </w:r>
      <w:r w:rsidRPr="009F0583">
        <w:rPr>
          <w:rFonts w:ascii="Times New Roman" w:hAnsi="Times New Roman" w:cs="Times New Roman"/>
          <w:sz w:val="24"/>
        </w:rPr>
        <w:t xml:space="preserve"> Identifying mixed Mycobacterium tuberculosis infections from whole genome sequence data. </w:t>
      </w:r>
      <w:r w:rsidRPr="009F0583">
        <w:rPr>
          <w:rFonts w:ascii="Times New Roman" w:hAnsi="Times New Roman" w:cs="Times New Roman"/>
          <w:i/>
          <w:iCs/>
          <w:sz w:val="24"/>
        </w:rPr>
        <w:t>BMC Genomics</w:t>
      </w:r>
      <w:r w:rsidRPr="009F0583">
        <w:rPr>
          <w:rFonts w:ascii="Times New Roman" w:hAnsi="Times New Roman" w:cs="Times New Roman"/>
          <w:sz w:val="24"/>
        </w:rPr>
        <w:t xml:space="preserve"> 2018;</w:t>
      </w:r>
      <w:r w:rsidRPr="009F0583">
        <w:rPr>
          <w:rFonts w:ascii="Times New Roman" w:hAnsi="Times New Roman" w:cs="Times New Roman"/>
          <w:b/>
          <w:bCs/>
          <w:sz w:val="24"/>
        </w:rPr>
        <w:t>19</w:t>
      </w:r>
      <w:r w:rsidRPr="009F0583">
        <w:rPr>
          <w:rFonts w:ascii="Times New Roman" w:hAnsi="Times New Roman" w:cs="Times New Roman"/>
          <w:sz w:val="24"/>
        </w:rPr>
        <w:t>:613. https://doi.org/10.1186/s12864-018-4988-z.</w:t>
      </w:r>
    </w:p>
    <w:p w14:paraId="7310DC02"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6</w:t>
      </w:r>
      <w:r w:rsidRPr="009F0583">
        <w:rPr>
          <w:rFonts w:ascii="Times New Roman" w:hAnsi="Times New Roman" w:cs="Times New Roman"/>
          <w:sz w:val="24"/>
        </w:rPr>
        <w:tab/>
        <w:t xml:space="preserve">Goossens SN, Heupink TH, De Vos E, Dippenaar A, De Vos M, Warren R, </w:t>
      </w:r>
      <w:r w:rsidRPr="009F0583">
        <w:rPr>
          <w:rFonts w:ascii="Times New Roman" w:hAnsi="Times New Roman" w:cs="Times New Roman"/>
          <w:i/>
          <w:iCs/>
          <w:sz w:val="24"/>
        </w:rPr>
        <w:t>et al.</w:t>
      </w:r>
      <w:r w:rsidRPr="009F0583">
        <w:rPr>
          <w:rFonts w:ascii="Times New Roman" w:hAnsi="Times New Roman" w:cs="Times New Roman"/>
          <w:sz w:val="24"/>
        </w:rPr>
        <w:t xml:space="preserve"> Detection of minor variants in Mycobacterium tuberculosis whole genome sequencing data. </w:t>
      </w:r>
      <w:r w:rsidRPr="009F0583">
        <w:rPr>
          <w:rFonts w:ascii="Times New Roman" w:hAnsi="Times New Roman" w:cs="Times New Roman"/>
          <w:i/>
          <w:iCs/>
          <w:sz w:val="24"/>
        </w:rPr>
        <w:t>Brief Bioinform</w:t>
      </w:r>
      <w:r w:rsidRPr="009F0583">
        <w:rPr>
          <w:rFonts w:ascii="Times New Roman" w:hAnsi="Times New Roman" w:cs="Times New Roman"/>
          <w:sz w:val="24"/>
        </w:rPr>
        <w:t xml:space="preserve"> 2022;</w:t>
      </w:r>
      <w:r w:rsidRPr="009F0583">
        <w:rPr>
          <w:rFonts w:ascii="Times New Roman" w:hAnsi="Times New Roman" w:cs="Times New Roman"/>
          <w:b/>
          <w:bCs/>
          <w:sz w:val="24"/>
        </w:rPr>
        <w:t>23</w:t>
      </w:r>
      <w:r w:rsidRPr="009F0583">
        <w:rPr>
          <w:rFonts w:ascii="Times New Roman" w:hAnsi="Times New Roman" w:cs="Times New Roman"/>
          <w:sz w:val="24"/>
        </w:rPr>
        <w:t>:bbab541. https://doi.org/10.1093/bib/bbab541.</w:t>
      </w:r>
    </w:p>
    <w:p w14:paraId="68D536AE"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7</w:t>
      </w:r>
      <w:r w:rsidRPr="009F0583">
        <w:rPr>
          <w:rFonts w:ascii="Times New Roman" w:hAnsi="Times New Roman" w:cs="Times New Roman"/>
          <w:sz w:val="24"/>
        </w:rPr>
        <w:tab/>
        <w:t xml:space="preserve">Vargas R, Freschi L, Marin M, Epperson LE, Smith M, Oussenko I, </w:t>
      </w:r>
      <w:r w:rsidRPr="009F0583">
        <w:rPr>
          <w:rFonts w:ascii="Times New Roman" w:hAnsi="Times New Roman" w:cs="Times New Roman"/>
          <w:i/>
          <w:iCs/>
          <w:sz w:val="24"/>
        </w:rPr>
        <w:t>et al.</w:t>
      </w:r>
      <w:r w:rsidRPr="009F0583">
        <w:rPr>
          <w:rFonts w:ascii="Times New Roman" w:hAnsi="Times New Roman" w:cs="Times New Roman"/>
          <w:sz w:val="24"/>
        </w:rPr>
        <w:t xml:space="preserve"> In-host population dynamics of Mycobacterium tuberculosis complex during active disease. </w:t>
      </w:r>
      <w:r w:rsidRPr="009F0583">
        <w:rPr>
          <w:rFonts w:ascii="Times New Roman" w:hAnsi="Times New Roman" w:cs="Times New Roman"/>
          <w:i/>
          <w:iCs/>
          <w:sz w:val="24"/>
        </w:rPr>
        <w:t>Elife</w:t>
      </w:r>
      <w:r w:rsidRPr="009F0583">
        <w:rPr>
          <w:rFonts w:ascii="Times New Roman" w:hAnsi="Times New Roman" w:cs="Times New Roman"/>
          <w:sz w:val="24"/>
        </w:rPr>
        <w:t xml:space="preserve"> 2021;</w:t>
      </w:r>
      <w:r w:rsidRPr="009F0583">
        <w:rPr>
          <w:rFonts w:ascii="Times New Roman" w:hAnsi="Times New Roman" w:cs="Times New Roman"/>
          <w:b/>
          <w:bCs/>
          <w:sz w:val="24"/>
        </w:rPr>
        <w:t>10</w:t>
      </w:r>
      <w:r w:rsidRPr="009F0583">
        <w:rPr>
          <w:rFonts w:ascii="Times New Roman" w:hAnsi="Times New Roman" w:cs="Times New Roman"/>
          <w:sz w:val="24"/>
        </w:rPr>
        <w:t>:. https://doi.org/10.7554/eLife.61805.</w:t>
      </w:r>
    </w:p>
    <w:p w14:paraId="569F9816"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8</w:t>
      </w:r>
      <w:r w:rsidRPr="009F0583">
        <w:rPr>
          <w:rFonts w:ascii="Times New Roman" w:hAnsi="Times New Roman" w:cs="Times New Roman"/>
          <w:sz w:val="24"/>
        </w:rPr>
        <w:tab/>
        <w:t xml:space="preserve">Asare-Baah M, Luong TM, Kwarteng E, Domotey C, Arthur N, Zoungrana M, </w:t>
      </w:r>
      <w:r w:rsidRPr="009F0583">
        <w:rPr>
          <w:rFonts w:ascii="Times New Roman" w:hAnsi="Times New Roman" w:cs="Times New Roman"/>
          <w:i/>
          <w:iCs/>
          <w:sz w:val="24"/>
        </w:rPr>
        <w:t>et al.</w:t>
      </w:r>
      <w:r w:rsidRPr="009F0583">
        <w:rPr>
          <w:rFonts w:ascii="Times New Roman" w:hAnsi="Times New Roman" w:cs="Times New Roman"/>
          <w:sz w:val="24"/>
        </w:rPr>
        <w:t xml:space="preserve"> Geospatial analysis of shared risks for tuberculosis transmission in an urban cohort. </w:t>
      </w:r>
      <w:r w:rsidRPr="009F0583">
        <w:rPr>
          <w:rFonts w:ascii="Times New Roman" w:hAnsi="Times New Roman" w:cs="Times New Roman"/>
          <w:i/>
          <w:iCs/>
          <w:sz w:val="24"/>
        </w:rPr>
        <w:t>Sci Rep</w:t>
      </w:r>
      <w:r w:rsidRPr="009F0583">
        <w:rPr>
          <w:rFonts w:ascii="Times New Roman" w:hAnsi="Times New Roman" w:cs="Times New Roman"/>
          <w:sz w:val="24"/>
        </w:rPr>
        <w:t xml:space="preserve"> 2025;</w:t>
      </w:r>
      <w:r w:rsidRPr="009F0583">
        <w:rPr>
          <w:rFonts w:ascii="Times New Roman" w:hAnsi="Times New Roman" w:cs="Times New Roman"/>
          <w:b/>
          <w:bCs/>
          <w:sz w:val="24"/>
        </w:rPr>
        <w:t>15</w:t>
      </w:r>
      <w:r w:rsidRPr="009F0583">
        <w:rPr>
          <w:rFonts w:ascii="Times New Roman" w:hAnsi="Times New Roman" w:cs="Times New Roman"/>
          <w:sz w:val="24"/>
        </w:rPr>
        <w:t>:1–11. https://doi.org/10.1038/s41598-025-23120-w.</w:t>
      </w:r>
    </w:p>
    <w:p w14:paraId="439A6CE4"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9</w:t>
      </w:r>
      <w:r w:rsidRPr="009F0583">
        <w:rPr>
          <w:rFonts w:ascii="Times New Roman" w:hAnsi="Times New Roman" w:cs="Times New Roman"/>
          <w:sz w:val="24"/>
        </w:rPr>
        <w:tab/>
        <w:t xml:space="preserve">Bolger AM, Lohse M, Usadel B. Trimmomatic: a flexible trimmer for Illumina sequence data. </w:t>
      </w:r>
      <w:r w:rsidRPr="009F0583">
        <w:rPr>
          <w:rFonts w:ascii="Times New Roman" w:hAnsi="Times New Roman" w:cs="Times New Roman"/>
          <w:i/>
          <w:iCs/>
          <w:sz w:val="24"/>
        </w:rPr>
        <w:t>Bioinformatics</w:t>
      </w:r>
      <w:r w:rsidRPr="009F0583">
        <w:rPr>
          <w:rFonts w:ascii="Times New Roman" w:hAnsi="Times New Roman" w:cs="Times New Roman"/>
          <w:sz w:val="24"/>
        </w:rPr>
        <w:t xml:space="preserve"> 2014;</w:t>
      </w:r>
      <w:r w:rsidRPr="009F0583">
        <w:rPr>
          <w:rFonts w:ascii="Times New Roman" w:hAnsi="Times New Roman" w:cs="Times New Roman"/>
          <w:b/>
          <w:bCs/>
          <w:sz w:val="24"/>
        </w:rPr>
        <w:t>30</w:t>
      </w:r>
      <w:r w:rsidRPr="009F0583">
        <w:rPr>
          <w:rFonts w:ascii="Times New Roman" w:hAnsi="Times New Roman" w:cs="Times New Roman"/>
          <w:sz w:val="24"/>
        </w:rPr>
        <w:t>:2114–20. https://doi.org/10.1093/bioinformatics/btu170.</w:t>
      </w:r>
    </w:p>
    <w:p w14:paraId="16504C0F"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10</w:t>
      </w:r>
      <w:r w:rsidRPr="009F0583">
        <w:rPr>
          <w:rFonts w:ascii="Times New Roman" w:hAnsi="Times New Roman" w:cs="Times New Roman"/>
          <w:sz w:val="24"/>
        </w:rPr>
        <w:tab/>
        <w:t xml:space="preserve">Cole ST, Brosch R, Parkhill J, Garnier T, Churcher C, Harris D, </w:t>
      </w:r>
      <w:r w:rsidRPr="009F0583">
        <w:rPr>
          <w:rFonts w:ascii="Times New Roman" w:hAnsi="Times New Roman" w:cs="Times New Roman"/>
          <w:i/>
          <w:iCs/>
          <w:sz w:val="24"/>
        </w:rPr>
        <w:t>et al.</w:t>
      </w:r>
      <w:r w:rsidRPr="009F0583">
        <w:rPr>
          <w:rFonts w:ascii="Times New Roman" w:hAnsi="Times New Roman" w:cs="Times New Roman"/>
          <w:sz w:val="24"/>
        </w:rPr>
        <w:t xml:space="preserve"> Deciphering the biology of Mycobacterium tuberculosis from the complete genome sequence. </w:t>
      </w:r>
      <w:r w:rsidRPr="009F0583">
        <w:rPr>
          <w:rFonts w:ascii="Times New Roman" w:hAnsi="Times New Roman" w:cs="Times New Roman"/>
          <w:i/>
          <w:iCs/>
          <w:sz w:val="24"/>
        </w:rPr>
        <w:t>Nature</w:t>
      </w:r>
      <w:r w:rsidRPr="009F0583">
        <w:rPr>
          <w:rFonts w:ascii="Times New Roman" w:hAnsi="Times New Roman" w:cs="Times New Roman"/>
          <w:sz w:val="24"/>
        </w:rPr>
        <w:t xml:space="preserve"> 1998;</w:t>
      </w:r>
      <w:r w:rsidRPr="009F0583">
        <w:rPr>
          <w:rFonts w:ascii="Times New Roman" w:hAnsi="Times New Roman" w:cs="Times New Roman"/>
          <w:b/>
          <w:bCs/>
          <w:sz w:val="24"/>
        </w:rPr>
        <w:t>393</w:t>
      </w:r>
      <w:r w:rsidRPr="009F0583">
        <w:rPr>
          <w:rFonts w:ascii="Times New Roman" w:hAnsi="Times New Roman" w:cs="Times New Roman"/>
          <w:sz w:val="24"/>
        </w:rPr>
        <w:t>:537–44. https://doi.org/10.1038/31159.</w:t>
      </w:r>
    </w:p>
    <w:p w14:paraId="21829E23"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11</w:t>
      </w:r>
      <w:r w:rsidRPr="009F0583">
        <w:rPr>
          <w:rFonts w:ascii="Times New Roman" w:hAnsi="Times New Roman" w:cs="Times New Roman"/>
          <w:sz w:val="24"/>
        </w:rPr>
        <w:tab/>
        <w:t>Li H. Aligning sequence reads, clone sequences and assembly contigs with BWA-MEM 2013. https://doi.org/10.48550/arXiv.1303.3997.</w:t>
      </w:r>
    </w:p>
    <w:p w14:paraId="2AF97185"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12</w:t>
      </w:r>
      <w:r w:rsidRPr="009F0583">
        <w:rPr>
          <w:rFonts w:ascii="Times New Roman" w:hAnsi="Times New Roman" w:cs="Times New Roman"/>
          <w:sz w:val="24"/>
        </w:rPr>
        <w:tab/>
        <w:t xml:space="preserve">Walter KS, Cohen T, Mathema B, Colijn C, Sobkowiak B, Comas I, </w:t>
      </w:r>
      <w:r w:rsidRPr="009F0583">
        <w:rPr>
          <w:rFonts w:ascii="Times New Roman" w:hAnsi="Times New Roman" w:cs="Times New Roman"/>
          <w:i/>
          <w:iCs/>
          <w:sz w:val="24"/>
        </w:rPr>
        <w:t>et al.</w:t>
      </w:r>
      <w:r w:rsidRPr="009F0583">
        <w:rPr>
          <w:rFonts w:ascii="Times New Roman" w:hAnsi="Times New Roman" w:cs="Times New Roman"/>
          <w:sz w:val="24"/>
        </w:rPr>
        <w:t xml:space="preserve"> Signatures of transmission in within-host Mycobacterium tuberculosis complex variation: a retrospective genomic epidemiology study. </w:t>
      </w:r>
      <w:r w:rsidRPr="009F0583">
        <w:rPr>
          <w:rFonts w:ascii="Times New Roman" w:hAnsi="Times New Roman" w:cs="Times New Roman"/>
          <w:i/>
          <w:iCs/>
          <w:sz w:val="24"/>
        </w:rPr>
        <w:t>The Lancet Microbe</w:t>
      </w:r>
      <w:r w:rsidRPr="009F0583">
        <w:rPr>
          <w:rFonts w:ascii="Times New Roman" w:hAnsi="Times New Roman" w:cs="Times New Roman"/>
          <w:sz w:val="24"/>
        </w:rPr>
        <w:t xml:space="preserve"> 2025;</w:t>
      </w:r>
      <w:r w:rsidRPr="009F0583">
        <w:rPr>
          <w:rFonts w:ascii="Times New Roman" w:hAnsi="Times New Roman" w:cs="Times New Roman"/>
          <w:b/>
          <w:bCs/>
          <w:sz w:val="24"/>
        </w:rPr>
        <w:t>6</w:t>
      </w:r>
      <w:r w:rsidRPr="009F0583">
        <w:rPr>
          <w:rFonts w:ascii="Times New Roman" w:hAnsi="Times New Roman" w:cs="Times New Roman"/>
          <w:sz w:val="24"/>
        </w:rPr>
        <w:t>:. https://doi.org/10.1016/j.lanmic.2024.06.003.</w:t>
      </w:r>
    </w:p>
    <w:p w14:paraId="3E84B5C3"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13</w:t>
      </w:r>
      <w:r w:rsidRPr="009F0583">
        <w:rPr>
          <w:rFonts w:ascii="Times New Roman" w:hAnsi="Times New Roman" w:cs="Times New Roman"/>
          <w:sz w:val="24"/>
        </w:rPr>
        <w:tab/>
        <w:t xml:space="preserve">Van der Auwera GA author. </w:t>
      </w:r>
      <w:r w:rsidRPr="009F0583">
        <w:rPr>
          <w:rFonts w:ascii="Times New Roman" w:hAnsi="Times New Roman" w:cs="Times New Roman"/>
          <w:i/>
          <w:iCs/>
          <w:sz w:val="24"/>
        </w:rPr>
        <w:t>Genomics in the cloud : using Docker, GATK, and WDL in Terra</w:t>
      </w:r>
      <w:r w:rsidRPr="009F0583">
        <w:rPr>
          <w:rFonts w:ascii="Times New Roman" w:hAnsi="Times New Roman" w:cs="Times New Roman"/>
          <w:sz w:val="24"/>
        </w:rPr>
        <w:t>. First edition. Sebastopol, CA: O’Reilly Media, [2020] ©2020; 2020.</w:t>
      </w:r>
    </w:p>
    <w:p w14:paraId="043DC765"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lastRenderedPageBreak/>
        <w:t>14</w:t>
      </w:r>
      <w:r w:rsidRPr="009F0583">
        <w:rPr>
          <w:rFonts w:ascii="Times New Roman" w:hAnsi="Times New Roman" w:cs="Times New Roman"/>
          <w:sz w:val="24"/>
        </w:rPr>
        <w:tab/>
        <w:t xml:space="preserve">Marin M, Vargas R, Harris M, Jeffrey B, Epperson LE, Durbin D, </w:t>
      </w:r>
      <w:r w:rsidRPr="009F0583">
        <w:rPr>
          <w:rFonts w:ascii="Times New Roman" w:hAnsi="Times New Roman" w:cs="Times New Roman"/>
          <w:i/>
          <w:iCs/>
          <w:sz w:val="24"/>
        </w:rPr>
        <w:t>et al.</w:t>
      </w:r>
      <w:r w:rsidRPr="009F0583">
        <w:rPr>
          <w:rFonts w:ascii="Times New Roman" w:hAnsi="Times New Roman" w:cs="Times New Roman"/>
          <w:sz w:val="24"/>
        </w:rPr>
        <w:t xml:space="preserve"> Benchmarking the empirical accuracy of short-read sequencing across the M. tuberculosis genome. </w:t>
      </w:r>
      <w:r w:rsidRPr="009F0583">
        <w:rPr>
          <w:rFonts w:ascii="Times New Roman" w:hAnsi="Times New Roman" w:cs="Times New Roman"/>
          <w:i/>
          <w:iCs/>
          <w:sz w:val="24"/>
        </w:rPr>
        <w:t>Bioinformatics</w:t>
      </w:r>
      <w:r w:rsidRPr="009F0583">
        <w:rPr>
          <w:rFonts w:ascii="Times New Roman" w:hAnsi="Times New Roman" w:cs="Times New Roman"/>
          <w:sz w:val="24"/>
        </w:rPr>
        <w:t xml:space="preserve"> 2022;</w:t>
      </w:r>
      <w:r w:rsidRPr="009F0583">
        <w:rPr>
          <w:rFonts w:ascii="Times New Roman" w:hAnsi="Times New Roman" w:cs="Times New Roman"/>
          <w:b/>
          <w:bCs/>
          <w:sz w:val="24"/>
        </w:rPr>
        <w:t>38</w:t>
      </w:r>
      <w:r w:rsidRPr="009F0583">
        <w:rPr>
          <w:rFonts w:ascii="Times New Roman" w:hAnsi="Times New Roman" w:cs="Times New Roman"/>
          <w:sz w:val="24"/>
        </w:rPr>
        <w:t>:1781–7. https://doi.org/10.1093/bioinformatics/btac023.</w:t>
      </w:r>
    </w:p>
    <w:p w14:paraId="51172117"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15</w:t>
      </w:r>
      <w:r w:rsidRPr="009F0583">
        <w:rPr>
          <w:rFonts w:ascii="Times New Roman" w:hAnsi="Times New Roman" w:cs="Times New Roman"/>
          <w:sz w:val="24"/>
        </w:rPr>
        <w:tab/>
        <w:t xml:space="preserve">Phelan JE, Coll F, Bergval I, Anthony RM, Warren R, Sampson SL, </w:t>
      </w:r>
      <w:r w:rsidRPr="009F0583">
        <w:rPr>
          <w:rFonts w:ascii="Times New Roman" w:hAnsi="Times New Roman" w:cs="Times New Roman"/>
          <w:i/>
          <w:iCs/>
          <w:sz w:val="24"/>
        </w:rPr>
        <w:t>et al.</w:t>
      </w:r>
      <w:r w:rsidRPr="009F0583">
        <w:rPr>
          <w:rFonts w:ascii="Times New Roman" w:hAnsi="Times New Roman" w:cs="Times New Roman"/>
          <w:sz w:val="24"/>
        </w:rPr>
        <w:t xml:space="preserve"> Recombination in pe/ppe genes contributes to genetic variation in Mycobacterium tuberculosis lineages. </w:t>
      </w:r>
      <w:r w:rsidRPr="009F0583">
        <w:rPr>
          <w:rFonts w:ascii="Times New Roman" w:hAnsi="Times New Roman" w:cs="Times New Roman"/>
          <w:i/>
          <w:iCs/>
          <w:sz w:val="24"/>
        </w:rPr>
        <w:t>BMC Genomics</w:t>
      </w:r>
      <w:r w:rsidRPr="009F0583">
        <w:rPr>
          <w:rFonts w:ascii="Times New Roman" w:hAnsi="Times New Roman" w:cs="Times New Roman"/>
          <w:sz w:val="24"/>
        </w:rPr>
        <w:t xml:space="preserve"> 2016;</w:t>
      </w:r>
      <w:r w:rsidRPr="009F0583">
        <w:rPr>
          <w:rFonts w:ascii="Times New Roman" w:hAnsi="Times New Roman" w:cs="Times New Roman"/>
          <w:b/>
          <w:bCs/>
          <w:sz w:val="24"/>
        </w:rPr>
        <w:t>17</w:t>
      </w:r>
      <w:r w:rsidRPr="009F0583">
        <w:rPr>
          <w:rFonts w:ascii="Times New Roman" w:hAnsi="Times New Roman" w:cs="Times New Roman"/>
          <w:sz w:val="24"/>
        </w:rPr>
        <w:t>:151. https://doi.org/10.1186/s12864-016-2467-y.</w:t>
      </w:r>
    </w:p>
    <w:p w14:paraId="7F5D606B"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16</w:t>
      </w:r>
      <w:r w:rsidRPr="009F0583">
        <w:rPr>
          <w:rFonts w:ascii="Times New Roman" w:hAnsi="Times New Roman" w:cs="Times New Roman"/>
          <w:sz w:val="24"/>
        </w:rPr>
        <w:tab/>
        <w:t xml:space="preserve">Jaccard P. The Distribution of the Flora in the Alpine Zone. </w:t>
      </w:r>
      <w:r w:rsidRPr="009F0583">
        <w:rPr>
          <w:rFonts w:ascii="Times New Roman" w:hAnsi="Times New Roman" w:cs="Times New Roman"/>
          <w:i/>
          <w:iCs/>
          <w:sz w:val="24"/>
        </w:rPr>
        <w:t>The New Phytologist</w:t>
      </w:r>
      <w:r w:rsidRPr="009F0583">
        <w:rPr>
          <w:rFonts w:ascii="Times New Roman" w:hAnsi="Times New Roman" w:cs="Times New Roman"/>
          <w:sz w:val="24"/>
        </w:rPr>
        <w:t xml:space="preserve"> 1912;</w:t>
      </w:r>
      <w:r w:rsidRPr="009F0583">
        <w:rPr>
          <w:rFonts w:ascii="Times New Roman" w:hAnsi="Times New Roman" w:cs="Times New Roman"/>
          <w:b/>
          <w:bCs/>
          <w:sz w:val="24"/>
        </w:rPr>
        <w:t>11</w:t>
      </w:r>
      <w:r w:rsidRPr="009F0583">
        <w:rPr>
          <w:rFonts w:ascii="Times New Roman" w:hAnsi="Times New Roman" w:cs="Times New Roman"/>
          <w:sz w:val="24"/>
        </w:rPr>
        <w:t>:37–50.</w:t>
      </w:r>
    </w:p>
    <w:p w14:paraId="3C48ECBF"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17</w:t>
      </w:r>
      <w:r w:rsidRPr="009F0583">
        <w:rPr>
          <w:rFonts w:ascii="Times New Roman" w:hAnsi="Times New Roman" w:cs="Times New Roman"/>
          <w:sz w:val="24"/>
        </w:rPr>
        <w:tab/>
        <w:t xml:space="preserve">M.K V, K K. A Survey on Similarity Measures in Text Mining. </w:t>
      </w:r>
      <w:r w:rsidRPr="009F0583">
        <w:rPr>
          <w:rFonts w:ascii="Times New Roman" w:hAnsi="Times New Roman" w:cs="Times New Roman"/>
          <w:i/>
          <w:iCs/>
          <w:sz w:val="24"/>
        </w:rPr>
        <w:t>MLAIJ</w:t>
      </w:r>
      <w:r w:rsidRPr="009F0583">
        <w:rPr>
          <w:rFonts w:ascii="Times New Roman" w:hAnsi="Times New Roman" w:cs="Times New Roman"/>
          <w:sz w:val="24"/>
        </w:rPr>
        <w:t xml:space="preserve"> 2016;</w:t>
      </w:r>
      <w:r w:rsidRPr="009F0583">
        <w:rPr>
          <w:rFonts w:ascii="Times New Roman" w:hAnsi="Times New Roman" w:cs="Times New Roman"/>
          <w:b/>
          <w:bCs/>
          <w:sz w:val="24"/>
        </w:rPr>
        <w:t>3</w:t>
      </w:r>
      <w:r w:rsidRPr="009F0583">
        <w:rPr>
          <w:rFonts w:ascii="Times New Roman" w:hAnsi="Times New Roman" w:cs="Times New Roman"/>
          <w:sz w:val="24"/>
        </w:rPr>
        <w:t>:19–28. https://doi.org/10.5121/mlaij.2016.3103.</w:t>
      </w:r>
    </w:p>
    <w:p w14:paraId="54AF293C"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18</w:t>
      </w:r>
      <w:r w:rsidRPr="009F0583">
        <w:rPr>
          <w:rFonts w:ascii="Times New Roman" w:hAnsi="Times New Roman" w:cs="Times New Roman"/>
          <w:sz w:val="24"/>
        </w:rPr>
        <w:tab/>
        <w:t xml:space="preserve">McCrone JT, Lauring AS. Measurements of Intrahost Viral Diversity Are Extremely Sensitive to Systematic Errors in Variant Calling. </w:t>
      </w:r>
      <w:r w:rsidRPr="009F0583">
        <w:rPr>
          <w:rFonts w:ascii="Times New Roman" w:hAnsi="Times New Roman" w:cs="Times New Roman"/>
          <w:i/>
          <w:iCs/>
          <w:sz w:val="24"/>
        </w:rPr>
        <w:t>Journal of Virology</w:t>
      </w:r>
      <w:r w:rsidRPr="009F0583">
        <w:rPr>
          <w:rFonts w:ascii="Times New Roman" w:hAnsi="Times New Roman" w:cs="Times New Roman"/>
          <w:sz w:val="24"/>
        </w:rPr>
        <w:t xml:space="preserve"> 2016;</w:t>
      </w:r>
      <w:r w:rsidRPr="009F0583">
        <w:rPr>
          <w:rFonts w:ascii="Times New Roman" w:hAnsi="Times New Roman" w:cs="Times New Roman"/>
          <w:b/>
          <w:bCs/>
          <w:sz w:val="24"/>
        </w:rPr>
        <w:t>90</w:t>
      </w:r>
      <w:r w:rsidRPr="009F0583">
        <w:rPr>
          <w:rFonts w:ascii="Times New Roman" w:hAnsi="Times New Roman" w:cs="Times New Roman"/>
          <w:sz w:val="24"/>
        </w:rPr>
        <w:t>:6884–95. https://doi.org/10.1128/jvi.00667-16.</w:t>
      </w:r>
    </w:p>
    <w:p w14:paraId="5ECDD86F"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19</w:t>
      </w:r>
      <w:r w:rsidRPr="009F0583">
        <w:rPr>
          <w:rFonts w:ascii="Times New Roman" w:hAnsi="Times New Roman" w:cs="Times New Roman"/>
          <w:sz w:val="24"/>
        </w:rPr>
        <w:tab/>
        <w:t xml:space="preserve">Fishburn PC. Lexicographic Orders, Utilities and Decision Rules: A Survey. </w:t>
      </w:r>
      <w:r w:rsidRPr="009F0583">
        <w:rPr>
          <w:rFonts w:ascii="Times New Roman" w:hAnsi="Times New Roman" w:cs="Times New Roman"/>
          <w:i/>
          <w:iCs/>
          <w:sz w:val="24"/>
        </w:rPr>
        <w:t>Management Science</w:t>
      </w:r>
      <w:r w:rsidRPr="009F0583">
        <w:rPr>
          <w:rFonts w:ascii="Times New Roman" w:hAnsi="Times New Roman" w:cs="Times New Roman"/>
          <w:sz w:val="24"/>
        </w:rPr>
        <w:t xml:space="preserve"> 1974;</w:t>
      </w:r>
      <w:r w:rsidRPr="009F0583">
        <w:rPr>
          <w:rFonts w:ascii="Times New Roman" w:hAnsi="Times New Roman" w:cs="Times New Roman"/>
          <w:b/>
          <w:bCs/>
          <w:sz w:val="24"/>
        </w:rPr>
        <w:t>20</w:t>
      </w:r>
      <w:r w:rsidRPr="009F0583">
        <w:rPr>
          <w:rFonts w:ascii="Times New Roman" w:hAnsi="Times New Roman" w:cs="Times New Roman"/>
          <w:sz w:val="24"/>
        </w:rPr>
        <w:t>:1442–71.</w:t>
      </w:r>
    </w:p>
    <w:p w14:paraId="19F4FAE9"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20</w:t>
      </w:r>
      <w:r w:rsidRPr="009F0583">
        <w:rPr>
          <w:rFonts w:ascii="Times New Roman" w:hAnsi="Times New Roman" w:cs="Times New Roman"/>
          <w:sz w:val="24"/>
        </w:rPr>
        <w:tab/>
        <w:t xml:space="preserve">FIRTH D. Bias reduction of maximum likelihood estimates. </w:t>
      </w:r>
      <w:r w:rsidRPr="009F0583">
        <w:rPr>
          <w:rFonts w:ascii="Times New Roman" w:hAnsi="Times New Roman" w:cs="Times New Roman"/>
          <w:i/>
          <w:iCs/>
          <w:sz w:val="24"/>
        </w:rPr>
        <w:t>Biometrika</w:t>
      </w:r>
      <w:r w:rsidRPr="009F0583">
        <w:rPr>
          <w:rFonts w:ascii="Times New Roman" w:hAnsi="Times New Roman" w:cs="Times New Roman"/>
          <w:sz w:val="24"/>
        </w:rPr>
        <w:t xml:space="preserve"> 1993;</w:t>
      </w:r>
      <w:r w:rsidRPr="009F0583">
        <w:rPr>
          <w:rFonts w:ascii="Times New Roman" w:hAnsi="Times New Roman" w:cs="Times New Roman"/>
          <w:b/>
          <w:bCs/>
          <w:sz w:val="24"/>
        </w:rPr>
        <w:t>80</w:t>
      </w:r>
      <w:r w:rsidRPr="009F0583">
        <w:rPr>
          <w:rFonts w:ascii="Times New Roman" w:hAnsi="Times New Roman" w:cs="Times New Roman"/>
          <w:sz w:val="24"/>
        </w:rPr>
        <w:t>:27–38. https://doi.org/10.1093/biomet/80.1.27.</w:t>
      </w:r>
    </w:p>
    <w:p w14:paraId="664A754A"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21</w:t>
      </w:r>
      <w:r w:rsidRPr="009F0583">
        <w:rPr>
          <w:rFonts w:ascii="Times New Roman" w:hAnsi="Times New Roman" w:cs="Times New Roman"/>
          <w:sz w:val="24"/>
        </w:rPr>
        <w:tab/>
        <w:t xml:space="preserve">Wickham H, Averick M, Bryan J, Chang W, McGowan LD, François R, </w:t>
      </w:r>
      <w:r w:rsidRPr="009F0583">
        <w:rPr>
          <w:rFonts w:ascii="Times New Roman" w:hAnsi="Times New Roman" w:cs="Times New Roman"/>
          <w:i/>
          <w:iCs/>
          <w:sz w:val="24"/>
        </w:rPr>
        <w:t>et al.</w:t>
      </w:r>
      <w:r w:rsidRPr="009F0583">
        <w:rPr>
          <w:rFonts w:ascii="Times New Roman" w:hAnsi="Times New Roman" w:cs="Times New Roman"/>
          <w:sz w:val="24"/>
        </w:rPr>
        <w:t xml:space="preserve"> Welcome to the Tidyverse. </w:t>
      </w:r>
      <w:r w:rsidRPr="009F0583">
        <w:rPr>
          <w:rFonts w:ascii="Times New Roman" w:hAnsi="Times New Roman" w:cs="Times New Roman"/>
          <w:i/>
          <w:iCs/>
          <w:sz w:val="24"/>
        </w:rPr>
        <w:t>Journal of Open Source Software</w:t>
      </w:r>
      <w:r w:rsidRPr="009F0583">
        <w:rPr>
          <w:rFonts w:ascii="Times New Roman" w:hAnsi="Times New Roman" w:cs="Times New Roman"/>
          <w:sz w:val="24"/>
        </w:rPr>
        <w:t xml:space="preserve"> 2019;</w:t>
      </w:r>
      <w:r w:rsidRPr="009F0583">
        <w:rPr>
          <w:rFonts w:ascii="Times New Roman" w:hAnsi="Times New Roman" w:cs="Times New Roman"/>
          <w:b/>
          <w:bCs/>
          <w:sz w:val="24"/>
        </w:rPr>
        <w:t>4</w:t>
      </w:r>
      <w:r w:rsidRPr="009F0583">
        <w:rPr>
          <w:rFonts w:ascii="Times New Roman" w:hAnsi="Times New Roman" w:cs="Times New Roman"/>
          <w:sz w:val="24"/>
        </w:rPr>
        <w:t>:1686. https://doi.org/10.21105/joss.01686.</w:t>
      </w:r>
    </w:p>
    <w:p w14:paraId="51827E02" w14:textId="77777777" w:rsidR="009F0583" w:rsidRPr="009F0583" w:rsidRDefault="009F0583" w:rsidP="00AE4F71">
      <w:pPr>
        <w:pStyle w:val="Bibliography"/>
        <w:spacing w:after="120"/>
        <w:ind w:left="259" w:hanging="259"/>
        <w:rPr>
          <w:rFonts w:ascii="Times New Roman" w:hAnsi="Times New Roman" w:cs="Times New Roman"/>
          <w:sz w:val="24"/>
        </w:rPr>
      </w:pPr>
      <w:r w:rsidRPr="009F0583">
        <w:rPr>
          <w:rFonts w:ascii="Times New Roman" w:hAnsi="Times New Roman" w:cs="Times New Roman"/>
          <w:sz w:val="24"/>
        </w:rPr>
        <w:t>22</w:t>
      </w:r>
      <w:r w:rsidRPr="009F0583">
        <w:rPr>
          <w:rFonts w:ascii="Times New Roman" w:hAnsi="Times New Roman" w:cs="Times New Roman"/>
          <w:sz w:val="24"/>
        </w:rPr>
        <w:tab/>
        <w:t xml:space="preserve">Ley SD, de Vos M, Van Rie A, Warren RM. Deciphering Within-Host Microevolution of Mycobacterium tuberculosis through Whole-Genome Sequencing: the Phenotypic Impact and Way Forward. </w:t>
      </w:r>
      <w:r w:rsidRPr="009F0583">
        <w:rPr>
          <w:rFonts w:ascii="Times New Roman" w:hAnsi="Times New Roman" w:cs="Times New Roman"/>
          <w:i/>
          <w:iCs/>
          <w:sz w:val="24"/>
        </w:rPr>
        <w:t>Microbiol Mol Biol Rev</w:t>
      </w:r>
      <w:r w:rsidRPr="009F0583">
        <w:rPr>
          <w:rFonts w:ascii="Times New Roman" w:hAnsi="Times New Roman" w:cs="Times New Roman"/>
          <w:sz w:val="24"/>
        </w:rPr>
        <w:t xml:space="preserve"> 2019;</w:t>
      </w:r>
      <w:r w:rsidRPr="009F0583">
        <w:rPr>
          <w:rFonts w:ascii="Times New Roman" w:hAnsi="Times New Roman" w:cs="Times New Roman"/>
          <w:b/>
          <w:bCs/>
          <w:sz w:val="24"/>
        </w:rPr>
        <w:t>83</w:t>
      </w:r>
      <w:r w:rsidRPr="009F0583">
        <w:rPr>
          <w:rFonts w:ascii="Times New Roman" w:hAnsi="Times New Roman" w:cs="Times New Roman"/>
          <w:sz w:val="24"/>
        </w:rPr>
        <w:t>:e00062-18. https://doi.org/10.1128/MMBR.00062-18.</w:t>
      </w:r>
    </w:p>
    <w:p w14:paraId="71B3E7B5" w14:textId="162902AC" w:rsidR="0039167D" w:rsidRPr="00297328" w:rsidRDefault="00E24C2E" w:rsidP="009F0583">
      <w:pPr>
        <w:pStyle w:val="Bibliography"/>
        <w:rPr>
          <w:rFonts w:ascii="Times New Roman" w:eastAsiaTheme="minorEastAsia" w:hAnsi="Times New Roman" w:cs="Times New Roman"/>
          <w:sz w:val="24"/>
          <w:szCs w:val="24"/>
        </w:rPr>
      </w:pPr>
      <w:r>
        <w:rPr>
          <w:rFonts w:ascii="Times New Roman" w:eastAsiaTheme="minorEastAsia" w:hAnsi="Times New Roman" w:cs="Times New Roman"/>
          <w:sz w:val="24"/>
          <w:szCs w:val="24"/>
        </w:rPr>
        <w:fldChar w:fldCharType="end"/>
      </w:r>
    </w:p>
    <w:p w14:paraId="618D3534" w14:textId="77777777" w:rsidR="00E328C1" w:rsidRDefault="00E328C1" w:rsidP="000E483B">
      <w:pPr>
        <w:spacing w:after="0" w:line="480" w:lineRule="auto"/>
        <w:ind w:firstLine="0"/>
        <w:rPr>
          <w:rFonts w:ascii="Times New Roman" w:eastAsiaTheme="minorEastAsia" w:hAnsi="Times New Roman" w:cs="Times New Roman"/>
          <w:sz w:val="24"/>
          <w:szCs w:val="24"/>
        </w:rPr>
      </w:pPr>
    </w:p>
    <w:p w14:paraId="4ACD08B3" w14:textId="77777777" w:rsidR="00E81A86" w:rsidRDefault="00E81A86" w:rsidP="00A0429E">
      <w:pPr>
        <w:spacing w:line="480" w:lineRule="auto"/>
        <w:ind w:firstLine="0"/>
        <w:rPr>
          <w:rFonts w:ascii="Times New Roman" w:hAnsi="Times New Roman" w:cs="Times New Roman"/>
          <w:sz w:val="24"/>
          <w:szCs w:val="24"/>
        </w:rPr>
      </w:pPr>
    </w:p>
    <w:sectPr w:rsidR="00E81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badi MT Condensed Light">
    <w:panose1 w:val="020B0306030101010103"/>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A4C21"/>
    <w:multiLevelType w:val="hybridMultilevel"/>
    <w:tmpl w:val="2320008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723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9FC"/>
    <w:rsid w:val="000017F4"/>
    <w:rsid w:val="00002485"/>
    <w:rsid w:val="0000290D"/>
    <w:rsid w:val="00010F0B"/>
    <w:rsid w:val="00012042"/>
    <w:rsid w:val="0001280F"/>
    <w:rsid w:val="00014939"/>
    <w:rsid w:val="00015315"/>
    <w:rsid w:val="00015E73"/>
    <w:rsid w:val="00016F81"/>
    <w:rsid w:val="00017931"/>
    <w:rsid w:val="00020411"/>
    <w:rsid w:val="00023463"/>
    <w:rsid w:val="000266DA"/>
    <w:rsid w:val="000323A2"/>
    <w:rsid w:val="000331EE"/>
    <w:rsid w:val="000332E8"/>
    <w:rsid w:val="000342E9"/>
    <w:rsid w:val="00040E70"/>
    <w:rsid w:val="00041DDD"/>
    <w:rsid w:val="00042FF1"/>
    <w:rsid w:val="0004525C"/>
    <w:rsid w:val="00045A16"/>
    <w:rsid w:val="00047284"/>
    <w:rsid w:val="0005067D"/>
    <w:rsid w:val="0005226E"/>
    <w:rsid w:val="00052439"/>
    <w:rsid w:val="000538F7"/>
    <w:rsid w:val="00055B2F"/>
    <w:rsid w:val="00057E90"/>
    <w:rsid w:val="00060683"/>
    <w:rsid w:val="00063510"/>
    <w:rsid w:val="00063742"/>
    <w:rsid w:val="00070A91"/>
    <w:rsid w:val="00071C46"/>
    <w:rsid w:val="0007256C"/>
    <w:rsid w:val="00074D52"/>
    <w:rsid w:val="000765A8"/>
    <w:rsid w:val="0008199A"/>
    <w:rsid w:val="00082B2C"/>
    <w:rsid w:val="00086AB3"/>
    <w:rsid w:val="00093ACF"/>
    <w:rsid w:val="000947F1"/>
    <w:rsid w:val="00095490"/>
    <w:rsid w:val="00095888"/>
    <w:rsid w:val="00095FD2"/>
    <w:rsid w:val="00097717"/>
    <w:rsid w:val="00097767"/>
    <w:rsid w:val="000A0403"/>
    <w:rsid w:val="000A049D"/>
    <w:rsid w:val="000A0542"/>
    <w:rsid w:val="000A16B6"/>
    <w:rsid w:val="000A1D32"/>
    <w:rsid w:val="000A2D40"/>
    <w:rsid w:val="000A35BC"/>
    <w:rsid w:val="000A3E08"/>
    <w:rsid w:val="000A5B15"/>
    <w:rsid w:val="000A67E3"/>
    <w:rsid w:val="000C02E8"/>
    <w:rsid w:val="000C32C0"/>
    <w:rsid w:val="000C401D"/>
    <w:rsid w:val="000C4C8F"/>
    <w:rsid w:val="000C4CAB"/>
    <w:rsid w:val="000C4E78"/>
    <w:rsid w:val="000C55F2"/>
    <w:rsid w:val="000C6AF8"/>
    <w:rsid w:val="000D51CA"/>
    <w:rsid w:val="000D5246"/>
    <w:rsid w:val="000D5BD0"/>
    <w:rsid w:val="000D5C28"/>
    <w:rsid w:val="000D65B0"/>
    <w:rsid w:val="000E017A"/>
    <w:rsid w:val="000E44A0"/>
    <w:rsid w:val="000E483B"/>
    <w:rsid w:val="000E62B6"/>
    <w:rsid w:val="000E65B9"/>
    <w:rsid w:val="000F052C"/>
    <w:rsid w:val="000F1FE5"/>
    <w:rsid w:val="000F25BE"/>
    <w:rsid w:val="000F3D16"/>
    <w:rsid w:val="000F3EB7"/>
    <w:rsid w:val="001002C4"/>
    <w:rsid w:val="001004AB"/>
    <w:rsid w:val="00102C6F"/>
    <w:rsid w:val="0011142B"/>
    <w:rsid w:val="00113248"/>
    <w:rsid w:val="001138DA"/>
    <w:rsid w:val="0011726F"/>
    <w:rsid w:val="001173F7"/>
    <w:rsid w:val="001204CD"/>
    <w:rsid w:val="00121992"/>
    <w:rsid w:val="00124044"/>
    <w:rsid w:val="00125B5D"/>
    <w:rsid w:val="001264B2"/>
    <w:rsid w:val="00126705"/>
    <w:rsid w:val="00130287"/>
    <w:rsid w:val="00130892"/>
    <w:rsid w:val="001324B4"/>
    <w:rsid w:val="00133535"/>
    <w:rsid w:val="00135A9F"/>
    <w:rsid w:val="00135E4F"/>
    <w:rsid w:val="00136CA3"/>
    <w:rsid w:val="00137B5A"/>
    <w:rsid w:val="00141AE3"/>
    <w:rsid w:val="001423E6"/>
    <w:rsid w:val="00142531"/>
    <w:rsid w:val="00142739"/>
    <w:rsid w:val="00144108"/>
    <w:rsid w:val="001448E2"/>
    <w:rsid w:val="00145240"/>
    <w:rsid w:val="00145626"/>
    <w:rsid w:val="00146C83"/>
    <w:rsid w:val="00147847"/>
    <w:rsid w:val="001512DD"/>
    <w:rsid w:val="00152AC3"/>
    <w:rsid w:val="00153536"/>
    <w:rsid w:val="00153D58"/>
    <w:rsid w:val="00153EA2"/>
    <w:rsid w:val="00154AEF"/>
    <w:rsid w:val="001558B6"/>
    <w:rsid w:val="00161543"/>
    <w:rsid w:val="00162E31"/>
    <w:rsid w:val="00163AE8"/>
    <w:rsid w:val="00166E84"/>
    <w:rsid w:val="001670AD"/>
    <w:rsid w:val="00167787"/>
    <w:rsid w:val="00167C62"/>
    <w:rsid w:val="001704F6"/>
    <w:rsid w:val="00172FDF"/>
    <w:rsid w:val="001732DF"/>
    <w:rsid w:val="00176CAA"/>
    <w:rsid w:val="00176F19"/>
    <w:rsid w:val="00183A9C"/>
    <w:rsid w:val="001841F8"/>
    <w:rsid w:val="00184E08"/>
    <w:rsid w:val="00186827"/>
    <w:rsid w:val="00186990"/>
    <w:rsid w:val="0018748B"/>
    <w:rsid w:val="00194D7A"/>
    <w:rsid w:val="001A185F"/>
    <w:rsid w:val="001A3039"/>
    <w:rsid w:val="001A41AE"/>
    <w:rsid w:val="001A5FE5"/>
    <w:rsid w:val="001A78F8"/>
    <w:rsid w:val="001B069F"/>
    <w:rsid w:val="001B0A7F"/>
    <w:rsid w:val="001B10B5"/>
    <w:rsid w:val="001B233B"/>
    <w:rsid w:val="001B5067"/>
    <w:rsid w:val="001B5D61"/>
    <w:rsid w:val="001C0BD5"/>
    <w:rsid w:val="001C3D76"/>
    <w:rsid w:val="001C580E"/>
    <w:rsid w:val="001D11A1"/>
    <w:rsid w:val="001D1349"/>
    <w:rsid w:val="001D1E15"/>
    <w:rsid w:val="001D3AD5"/>
    <w:rsid w:val="001D4364"/>
    <w:rsid w:val="001D5639"/>
    <w:rsid w:val="001D6B28"/>
    <w:rsid w:val="001D7319"/>
    <w:rsid w:val="001E0EA2"/>
    <w:rsid w:val="001E1BDB"/>
    <w:rsid w:val="001E4212"/>
    <w:rsid w:val="001F1439"/>
    <w:rsid w:val="001F2F4D"/>
    <w:rsid w:val="001F41BC"/>
    <w:rsid w:val="001F4E01"/>
    <w:rsid w:val="001F52FD"/>
    <w:rsid w:val="001F6073"/>
    <w:rsid w:val="001F7F38"/>
    <w:rsid w:val="00200C95"/>
    <w:rsid w:val="00204D03"/>
    <w:rsid w:val="00205D14"/>
    <w:rsid w:val="00205E70"/>
    <w:rsid w:val="00206F07"/>
    <w:rsid w:val="00207AAE"/>
    <w:rsid w:val="00210AA2"/>
    <w:rsid w:val="00210C09"/>
    <w:rsid w:val="00217005"/>
    <w:rsid w:val="0021730B"/>
    <w:rsid w:val="0021741D"/>
    <w:rsid w:val="00217D83"/>
    <w:rsid w:val="00220FAE"/>
    <w:rsid w:val="0022540F"/>
    <w:rsid w:val="002263F5"/>
    <w:rsid w:val="00227065"/>
    <w:rsid w:val="00227E4E"/>
    <w:rsid w:val="002324EE"/>
    <w:rsid w:val="00234DDB"/>
    <w:rsid w:val="002357FB"/>
    <w:rsid w:val="00235B46"/>
    <w:rsid w:val="00236973"/>
    <w:rsid w:val="00240D12"/>
    <w:rsid w:val="00245B2A"/>
    <w:rsid w:val="0024648F"/>
    <w:rsid w:val="00250813"/>
    <w:rsid w:val="002558FF"/>
    <w:rsid w:val="002567CB"/>
    <w:rsid w:val="00256F26"/>
    <w:rsid w:val="00260C18"/>
    <w:rsid w:val="00262FAF"/>
    <w:rsid w:val="0026313F"/>
    <w:rsid w:val="00263D78"/>
    <w:rsid w:val="00265957"/>
    <w:rsid w:val="0026717C"/>
    <w:rsid w:val="0026772E"/>
    <w:rsid w:val="002721AA"/>
    <w:rsid w:val="00272E7D"/>
    <w:rsid w:val="00274527"/>
    <w:rsid w:val="00277187"/>
    <w:rsid w:val="0027738E"/>
    <w:rsid w:val="00277980"/>
    <w:rsid w:val="00277BCF"/>
    <w:rsid w:val="00282C28"/>
    <w:rsid w:val="00283E7E"/>
    <w:rsid w:val="0028529C"/>
    <w:rsid w:val="002927D9"/>
    <w:rsid w:val="00292A8A"/>
    <w:rsid w:val="00294934"/>
    <w:rsid w:val="00295F2F"/>
    <w:rsid w:val="00297328"/>
    <w:rsid w:val="00297F1A"/>
    <w:rsid w:val="002A31F0"/>
    <w:rsid w:val="002A53D9"/>
    <w:rsid w:val="002A57F0"/>
    <w:rsid w:val="002A6DDD"/>
    <w:rsid w:val="002A75DD"/>
    <w:rsid w:val="002A7AC8"/>
    <w:rsid w:val="002B1B2F"/>
    <w:rsid w:val="002B29D4"/>
    <w:rsid w:val="002B649C"/>
    <w:rsid w:val="002B6569"/>
    <w:rsid w:val="002B760C"/>
    <w:rsid w:val="002B7B55"/>
    <w:rsid w:val="002B7C78"/>
    <w:rsid w:val="002C121A"/>
    <w:rsid w:val="002C2BC3"/>
    <w:rsid w:val="002C6F34"/>
    <w:rsid w:val="002C7266"/>
    <w:rsid w:val="002D08E1"/>
    <w:rsid w:val="002D0D24"/>
    <w:rsid w:val="002D1B0D"/>
    <w:rsid w:val="002D21F2"/>
    <w:rsid w:val="002D375B"/>
    <w:rsid w:val="002D4512"/>
    <w:rsid w:val="002D511E"/>
    <w:rsid w:val="002E1B30"/>
    <w:rsid w:val="002E20F8"/>
    <w:rsid w:val="002E367F"/>
    <w:rsid w:val="002E4584"/>
    <w:rsid w:val="002E4A39"/>
    <w:rsid w:val="002E4D07"/>
    <w:rsid w:val="002E5F19"/>
    <w:rsid w:val="002E79CE"/>
    <w:rsid w:val="002E7C8E"/>
    <w:rsid w:val="002F1534"/>
    <w:rsid w:val="002F2A8E"/>
    <w:rsid w:val="002F3996"/>
    <w:rsid w:val="002F43EC"/>
    <w:rsid w:val="002F5FD3"/>
    <w:rsid w:val="002F6B22"/>
    <w:rsid w:val="003009EA"/>
    <w:rsid w:val="0030148D"/>
    <w:rsid w:val="003026E4"/>
    <w:rsid w:val="00303173"/>
    <w:rsid w:val="00304A64"/>
    <w:rsid w:val="003058B1"/>
    <w:rsid w:val="0031067A"/>
    <w:rsid w:val="00311D53"/>
    <w:rsid w:val="003130EC"/>
    <w:rsid w:val="00313555"/>
    <w:rsid w:val="00315C97"/>
    <w:rsid w:val="003203D4"/>
    <w:rsid w:val="0032261A"/>
    <w:rsid w:val="0032495E"/>
    <w:rsid w:val="00326017"/>
    <w:rsid w:val="003264C5"/>
    <w:rsid w:val="00331BAE"/>
    <w:rsid w:val="0033214F"/>
    <w:rsid w:val="00333046"/>
    <w:rsid w:val="0033382C"/>
    <w:rsid w:val="0033506E"/>
    <w:rsid w:val="00336075"/>
    <w:rsid w:val="00336332"/>
    <w:rsid w:val="00337909"/>
    <w:rsid w:val="003405DE"/>
    <w:rsid w:val="0034072F"/>
    <w:rsid w:val="003411C5"/>
    <w:rsid w:val="00341BFF"/>
    <w:rsid w:val="00341DEE"/>
    <w:rsid w:val="003468AB"/>
    <w:rsid w:val="00346D2B"/>
    <w:rsid w:val="003475E5"/>
    <w:rsid w:val="0034788A"/>
    <w:rsid w:val="0035056F"/>
    <w:rsid w:val="003532D0"/>
    <w:rsid w:val="00355FBF"/>
    <w:rsid w:val="0035656F"/>
    <w:rsid w:val="0036041C"/>
    <w:rsid w:val="00361150"/>
    <w:rsid w:val="00361483"/>
    <w:rsid w:val="003630BA"/>
    <w:rsid w:val="00363539"/>
    <w:rsid w:val="00367133"/>
    <w:rsid w:val="00370607"/>
    <w:rsid w:val="003720BC"/>
    <w:rsid w:val="00373228"/>
    <w:rsid w:val="00377CC4"/>
    <w:rsid w:val="00384074"/>
    <w:rsid w:val="0038433D"/>
    <w:rsid w:val="00384621"/>
    <w:rsid w:val="0039167D"/>
    <w:rsid w:val="00392756"/>
    <w:rsid w:val="00395154"/>
    <w:rsid w:val="00396963"/>
    <w:rsid w:val="003A269A"/>
    <w:rsid w:val="003A287F"/>
    <w:rsid w:val="003A36E8"/>
    <w:rsid w:val="003A378F"/>
    <w:rsid w:val="003A47A2"/>
    <w:rsid w:val="003A57C7"/>
    <w:rsid w:val="003A735D"/>
    <w:rsid w:val="003A7A79"/>
    <w:rsid w:val="003B0F23"/>
    <w:rsid w:val="003B17E3"/>
    <w:rsid w:val="003B2F3A"/>
    <w:rsid w:val="003B301D"/>
    <w:rsid w:val="003B71D7"/>
    <w:rsid w:val="003C001A"/>
    <w:rsid w:val="003C0C3A"/>
    <w:rsid w:val="003C1798"/>
    <w:rsid w:val="003C265B"/>
    <w:rsid w:val="003D0087"/>
    <w:rsid w:val="003D0E2A"/>
    <w:rsid w:val="003D543E"/>
    <w:rsid w:val="003D5F34"/>
    <w:rsid w:val="003D71F1"/>
    <w:rsid w:val="003D7BE4"/>
    <w:rsid w:val="003E1440"/>
    <w:rsid w:val="003E1BB9"/>
    <w:rsid w:val="003F0CED"/>
    <w:rsid w:val="003F1F7B"/>
    <w:rsid w:val="003F2220"/>
    <w:rsid w:val="003F4D1C"/>
    <w:rsid w:val="003F56BA"/>
    <w:rsid w:val="003F6354"/>
    <w:rsid w:val="003F778A"/>
    <w:rsid w:val="003F79F4"/>
    <w:rsid w:val="0040151E"/>
    <w:rsid w:val="004018A1"/>
    <w:rsid w:val="00401F41"/>
    <w:rsid w:val="0040289B"/>
    <w:rsid w:val="004031A6"/>
    <w:rsid w:val="004058DF"/>
    <w:rsid w:val="00407A40"/>
    <w:rsid w:val="0041032B"/>
    <w:rsid w:val="00412F36"/>
    <w:rsid w:val="0041404E"/>
    <w:rsid w:val="00414304"/>
    <w:rsid w:val="00414462"/>
    <w:rsid w:val="004165FD"/>
    <w:rsid w:val="00417BED"/>
    <w:rsid w:val="00420CAF"/>
    <w:rsid w:val="0042367A"/>
    <w:rsid w:val="00425689"/>
    <w:rsid w:val="004306D1"/>
    <w:rsid w:val="00435CB9"/>
    <w:rsid w:val="00435F55"/>
    <w:rsid w:val="0043672B"/>
    <w:rsid w:val="00440A5C"/>
    <w:rsid w:val="0044142C"/>
    <w:rsid w:val="00441791"/>
    <w:rsid w:val="00442A37"/>
    <w:rsid w:val="00445B1D"/>
    <w:rsid w:val="00447533"/>
    <w:rsid w:val="0044766D"/>
    <w:rsid w:val="004501A8"/>
    <w:rsid w:val="00450E3F"/>
    <w:rsid w:val="00451819"/>
    <w:rsid w:val="00452E28"/>
    <w:rsid w:val="004548D1"/>
    <w:rsid w:val="004561F6"/>
    <w:rsid w:val="00456D54"/>
    <w:rsid w:val="0045768B"/>
    <w:rsid w:val="00457A08"/>
    <w:rsid w:val="00461CC2"/>
    <w:rsid w:val="004626AE"/>
    <w:rsid w:val="0046379C"/>
    <w:rsid w:val="004637FB"/>
    <w:rsid w:val="004679FC"/>
    <w:rsid w:val="00472361"/>
    <w:rsid w:val="00473DF5"/>
    <w:rsid w:val="00474C04"/>
    <w:rsid w:val="00476562"/>
    <w:rsid w:val="004766DF"/>
    <w:rsid w:val="00477243"/>
    <w:rsid w:val="00477535"/>
    <w:rsid w:val="00477D33"/>
    <w:rsid w:val="00481306"/>
    <w:rsid w:val="00481D99"/>
    <w:rsid w:val="004820B5"/>
    <w:rsid w:val="00483A2A"/>
    <w:rsid w:val="00483F91"/>
    <w:rsid w:val="00487499"/>
    <w:rsid w:val="00487B4A"/>
    <w:rsid w:val="00490878"/>
    <w:rsid w:val="00490A2C"/>
    <w:rsid w:val="00492743"/>
    <w:rsid w:val="00493013"/>
    <w:rsid w:val="004A1003"/>
    <w:rsid w:val="004A6C51"/>
    <w:rsid w:val="004B0F8D"/>
    <w:rsid w:val="004B268F"/>
    <w:rsid w:val="004B5DB4"/>
    <w:rsid w:val="004B6392"/>
    <w:rsid w:val="004C02B2"/>
    <w:rsid w:val="004C03AB"/>
    <w:rsid w:val="004C1B70"/>
    <w:rsid w:val="004C2458"/>
    <w:rsid w:val="004C78C3"/>
    <w:rsid w:val="004D44A1"/>
    <w:rsid w:val="004E2524"/>
    <w:rsid w:val="004E36C5"/>
    <w:rsid w:val="004E3DD1"/>
    <w:rsid w:val="004E4A18"/>
    <w:rsid w:val="004E679E"/>
    <w:rsid w:val="004E75C6"/>
    <w:rsid w:val="004F1993"/>
    <w:rsid w:val="004F1E27"/>
    <w:rsid w:val="004F21D4"/>
    <w:rsid w:val="004F2636"/>
    <w:rsid w:val="004F2C48"/>
    <w:rsid w:val="004F3299"/>
    <w:rsid w:val="004F4406"/>
    <w:rsid w:val="004F4BAF"/>
    <w:rsid w:val="00501EF7"/>
    <w:rsid w:val="005024DC"/>
    <w:rsid w:val="0051021D"/>
    <w:rsid w:val="0051535B"/>
    <w:rsid w:val="00516E62"/>
    <w:rsid w:val="00517BB4"/>
    <w:rsid w:val="00522A09"/>
    <w:rsid w:val="005240A3"/>
    <w:rsid w:val="0052417A"/>
    <w:rsid w:val="005265E2"/>
    <w:rsid w:val="00527B15"/>
    <w:rsid w:val="005304F9"/>
    <w:rsid w:val="00530BD5"/>
    <w:rsid w:val="0053173D"/>
    <w:rsid w:val="00533628"/>
    <w:rsid w:val="0053599F"/>
    <w:rsid w:val="00536D1C"/>
    <w:rsid w:val="005370DE"/>
    <w:rsid w:val="00543C74"/>
    <w:rsid w:val="0054706E"/>
    <w:rsid w:val="00547636"/>
    <w:rsid w:val="0055080E"/>
    <w:rsid w:val="00554B36"/>
    <w:rsid w:val="00555AF3"/>
    <w:rsid w:val="00555CF1"/>
    <w:rsid w:val="00556065"/>
    <w:rsid w:val="00557E2C"/>
    <w:rsid w:val="005612DC"/>
    <w:rsid w:val="00561736"/>
    <w:rsid w:val="00561FAE"/>
    <w:rsid w:val="005633A4"/>
    <w:rsid w:val="005659A8"/>
    <w:rsid w:val="00566B0B"/>
    <w:rsid w:val="00573840"/>
    <w:rsid w:val="00574EF2"/>
    <w:rsid w:val="00581934"/>
    <w:rsid w:val="00585DA4"/>
    <w:rsid w:val="00585FFA"/>
    <w:rsid w:val="00586AE1"/>
    <w:rsid w:val="00586EBE"/>
    <w:rsid w:val="00590333"/>
    <w:rsid w:val="005960A2"/>
    <w:rsid w:val="005972C2"/>
    <w:rsid w:val="005A0343"/>
    <w:rsid w:val="005A516A"/>
    <w:rsid w:val="005A705E"/>
    <w:rsid w:val="005A7E1C"/>
    <w:rsid w:val="005B1724"/>
    <w:rsid w:val="005B34C9"/>
    <w:rsid w:val="005B355E"/>
    <w:rsid w:val="005B611D"/>
    <w:rsid w:val="005C0C0F"/>
    <w:rsid w:val="005C2041"/>
    <w:rsid w:val="005C2043"/>
    <w:rsid w:val="005C2956"/>
    <w:rsid w:val="005C4969"/>
    <w:rsid w:val="005C5297"/>
    <w:rsid w:val="005C6503"/>
    <w:rsid w:val="005C752A"/>
    <w:rsid w:val="005D01BC"/>
    <w:rsid w:val="005D1CA4"/>
    <w:rsid w:val="005D3900"/>
    <w:rsid w:val="005D4095"/>
    <w:rsid w:val="005D4326"/>
    <w:rsid w:val="005D597C"/>
    <w:rsid w:val="005E055C"/>
    <w:rsid w:val="005E0D81"/>
    <w:rsid w:val="005E134F"/>
    <w:rsid w:val="005E2842"/>
    <w:rsid w:val="005E345B"/>
    <w:rsid w:val="005E68EE"/>
    <w:rsid w:val="005F587F"/>
    <w:rsid w:val="005F5E4E"/>
    <w:rsid w:val="005F6EA6"/>
    <w:rsid w:val="005F70A0"/>
    <w:rsid w:val="005F7D2C"/>
    <w:rsid w:val="00601DC1"/>
    <w:rsid w:val="006036E1"/>
    <w:rsid w:val="00604413"/>
    <w:rsid w:val="00605015"/>
    <w:rsid w:val="00605C42"/>
    <w:rsid w:val="00605F3C"/>
    <w:rsid w:val="006062DC"/>
    <w:rsid w:val="0060703D"/>
    <w:rsid w:val="00607F69"/>
    <w:rsid w:val="006126F9"/>
    <w:rsid w:val="00612875"/>
    <w:rsid w:val="006133A4"/>
    <w:rsid w:val="0061401D"/>
    <w:rsid w:val="00621EEC"/>
    <w:rsid w:val="00623776"/>
    <w:rsid w:val="00624967"/>
    <w:rsid w:val="006254B6"/>
    <w:rsid w:val="00630FF3"/>
    <w:rsid w:val="00631F2E"/>
    <w:rsid w:val="00633701"/>
    <w:rsid w:val="0063490C"/>
    <w:rsid w:val="00634E65"/>
    <w:rsid w:val="00636453"/>
    <w:rsid w:val="00640980"/>
    <w:rsid w:val="00641F5E"/>
    <w:rsid w:val="006427C1"/>
    <w:rsid w:val="00642C9D"/>
    <w:rsid w:val="0064332A"/>
    <w:rsid w:val="00644C1D"/>
    <w:rsid w:val="00645007"/>
    <w:rsid w:val="0064539E"/>
    <w:rsid w:val="00645CE3"/>
    <w:rsid w:val="00646E24"/>
    <w:rsid w:val="0065070F"/>
    <w:rsid w:val="00650A6A"/>
    <w:rsid w:val="00651D04"/>
    <w:rsid w:val="006526D1"/>
    <w:rsid w:val="00655D07"/>
    <w:rsid w:val="00657B96"/>
    <w:rsid w:val="00657DEC"/>
    <w:rsid w:val="00662FB8"/>
    <w:rsid w:val="0066429A"/>
    <w:rsid w:val="00664D7E"/>
    <w:rsid w:val="00665F59"/>
    <w:rsid w:val="00674B38"/>
    <w:rsid w:val="00675F9B"/>
    <w:rsid w:val="006773DB"/>
    <w:rsid w:val="006816CD"/>
    <w:rsid w:val="00682D69"/>
    <w:rsid w:val="00682DA0"/>
    <w:rsid w:val="00683886"/>
    <w:rsid w:val="00685253"/>
    <w:rsid w:val="00690A18"/>
    <w:rsid w:val="00691159"/>
    <w:rsid w:val="006929C0"/>
    <w:rsid w:val="006941FE"/>
    <w:rsid w:val="00695F75"/>
    <w:rsid w:val="006973C7"/>
    <w:rsid w:val="006A0687"/>
    <w:rsid w:val="006A0C93"/>
    <w:rsid w:val="006A331A"/>
    <w:rsid w:val="006A468C"/>
    <w:rsid w:val="006A51A4"/>
    <w:rsid w:val="006A5B9B"/>
    <w:rsid w:val="006B1105"/>
    <w:rsid w:val="006B3350"/>
    <w:rsid w:val="006B4C6A"/>
    <w:rsid w:val="006B55D1"/>
    <w:rsid w:val="006B6933"/>
    <w:rsid w:val="006C01BF"/>
    <w:rsid w:val="006C2A7D"/>
    <w:rsid w:val="006C41B2"/>
    <w:rsid w:val="006C72DD"/>
    <w:rsid w:val="006C7317"/>
    <w:rsid w:val="006C766E"/>
    <w:rsid w:val="006D48AE"/>
    <w:rsid w:val="006D534C"/>
    <w:rsid w:val="006D6942"/>
    <w:rsid w:val="006E5647"/>
    <w:rsid w:val="006E5D58"/>
    <w:rsid w:val="006E5DA0"/>
    <w:rsid w:val="006E6F7D"/>
    <w:rsid w:val="006E71D9"/>
    <w:rsid w:val="006E721B"/>
    <w:rsid w:val="006E7F30"/>
    <w:rsid w:val="006F1CBB"/>
    <w:rsid w:val="006F337B"/>
    <w:rsid w:val="006F45B0"/>
    <w:rsid w:val="006F58DF"/>
    <w:rsid w:val="0070386D"/>
    <w:rsid w:val="00704E82"/>
    <w:rsid w:val="007101C0"/>
    <w:rsid w:val="00711318"/>
    <w:rsid w:val="00712C53"/>
    <w:rsid w:val="00712F2E"/>
    <w:rsid w:val="00714864"/>
    <w:rsid w:val="0071524C"/>
    <w:rsid w:val="007155B5"/>
    <w:rsid w:val="00716083"/>
    <w:rsid w:val="00721147"/>
    <w:rsid w:val="0072296A"/>
    <w:rsid w:val="007229AD"/>
    <w:rsid w:val="00722B9B"/>
    <w:rsid w:val="00723BA6"/>
    <w:rsid w:val="00723F5E"/>
    <w:rsid w:val="00724BFD"/>
    <w:rsid w:val="00725058"/>
    <w:rsid w:val="0072592C"/>
    <w:rsid w:val="00727CDF"/>
    <w:rsid w:val="007313ED"/>
    <w:rsid w:val="007314EA"/>
    <w:rsid w:val="00731710"/>
    <w:rsid w:val="007335A6"/>
    <w:rsid w:val="007336DA"/>
    <w:rsid w:val="00734A67"/>
    <w:rsid w:val="00734C30"/>
    <w:rsid w:val="007373A2"/>
    <w:rsid w:val="00743556"/>
    <w:rsid w:val="00744136"/>
    <w:rsid w:val="0074650A"/>
    <w:rsid w:val="00752C09"/>
    <w:rsid w:val="00753D52"/>
    <w:rsid w:val="007546BF"/>
    <w:rsid w:val="00754B66"/>
    <w:rsid w:val="007553DE"/>
    <w:rsid w:val="007554A2"/>
    <w:rsid w:val="007562E6"/>
    <w:rsid w:val="00756B74"/>
    <w:rsid w:val="0075700E"/>
    <w:rsid w:val="007578BF"/>
    <w:rsid w:val="00762AB2"/>
    <w:rsid w:val="00764457"/>
    <w:rsid w:val="00764C4A"/>
    <w:rsid w:val="007657E7"/>
    <w:rsid w:val="007664F8"/>
    <w:rsid w:val="00767E71"/>
    <w:rsid w:val="007702CC"/>
    <w:rsid w:val="0077078B"/>
    <w:rsid w:val="0077081A"/>
    <w:rsid w:val="00774833"/>
    <w:rsid w:val="00777114"/>
    <w:rsid w:val="00781637"/>
    <w:rsid w:val="00784B89"/>
    <w:rsid w:val="00784BCD"/>
    <w:rsid w:val="00784F01"/>
    <w:rsid w:val="007902F5"/>
    <w:rsid w:val="00791E34"/>
    <w:rsid w:val="007A0F63"/>
    <w:rsid w:val="007A1583"/>
    <w:rsid w:val="007A53A8"/>
    <w:rsid w:val="007B4C95"/>
    <w:rsid w:val="007B6585"/>
    <w:rsid w:val="007C01B5"/>
    <w:rsid w:val="007C0AEC"/>
    <w:rsid w:val="007C0BCD"/>
    <w:rsid w:val="007C1620"/>
    <w:rsid w:val="007C24F0"/>
    <w:rsid w:val="007C45C5"/>
    <w:rsid w:val="007C4C10"/>
    <w:rsid w:val="007C5335"/>
    <w:rsid w:val="007C68EA"/>
    <w:rsid w:val="007D1019"/>
    <w:rsid w:val="007D1224"/>
    <w:rsid w:val="007D1B4A"/>
    <w:rsid w:val="007D49FE"/>
    <w:rsid w:val="007D7511"/>
    <w:rsid w:val="007E0EF1"/>
    <w:rsid w:val="007E1413"/>
    <w:rsid w:val="007E1D37"/>
    <w:rsid w:val="007E3AEB"/>
    <w:rsid w:val="007E46D2"/>
    <w:rsid w:val="007E5DFE"/>
    <w:rsid w:val="007E79FB"/>
    <w:rsid w:val="007F0F59"/>
    <w:rsid w:val="007F185F"/>
    <w:rsid w:val="007F21FE"/>
    <w:rsid w:val="007F27DC"/>
    <w:rsid w:val="007F617D"/>
    <w:rsid w:val="007F765F"/>
    <w:rsid w:val="00814937"/>
    <w:rsid w:val="00820748"/>
    <w:rsid w:val="008212A5"/>
    <w:rsid w:val="00821FD5"/>
    <w:rsid w:val="008231A7"/>
    <w:rsid w:val="00825B5E"/>
    <w:rsid w:val="00827115"/>
    <w:rsid w:val="0083435B"/>
    <w:rsid w:val="00840506"/>
    <w:rsid w:val="00841064"/>
    <w:rsid w:val="00843956"/>
    <w:rsid w:val="00843B40"/>
    <w:rsid w:val="00850159"/>
    <w:rsid w:val="0085055B"/>
    <w:rsid w:val="0085316A"/>
    <w:rsid w:val="00853C32"/>
    <w:rsid w:val="00853CA0"/>
    <w:rsid w:val="00856910"/>
    <w:rsid w:val="0085710D"/>
    <w:rsid w:val="00861A88"/>
    <w:rsid w:val="00861CBD"/>
    <w:rsid w:val="00862A5C"/>
    <w:rsid w:val="008652A1"/>
    <w:rsid w:val="008659A2"/>
    <w:rsid w:val="00867551"/>
    <w:rsid w:val="0086759B"/>
    <w:rsid w:val="00870227"/>
    <w:rsid w:val="0087192B"/>
    <w:rsid w:val="00871C6A"/>
    <w:rsid w:val="008720F6"/>
    <w:rsid w:val="008739CC"/>
    <w:rsid w:val="00876728"/>
    <w:rsid w:val="00877861"/>
    <w:rsid w:val="00877CE3"/>
    <w:rsid w:val="00881758"/>
    <w:rsid w:val="008818AE"/>
    <w:rsid w:val="00883E34"/>
    <w:rsid w:val="008876E2"/>
    <w:rsid w:val="00894E21"/>
    <w:rsid w:val="00895919"/>
    <w:rsid w:val="00896841"/>
    <w:rsid w:val="00897455"/>
    <w:rsid w:val="008A4BC6"/>
    <w:rsid w:val="008A670E"/>
    <w:rsid w:val="008A6F2E"/>
    <w:rsid w:val="008B001E"/>
    <w:rsid w:val="008B17A5"/>
    <w:rsid w:val="008B3573"/>
    <w:rsid w:val="008B6FD7"/>
    <w:rsid w:val="008C4AE6"/>
    <w:rsid w:val="008C6C71"/>
    <w:rsid w:val="008C7170"/>
    <w:rsid w:val="008C7BF4"/>
    <w:rsid w:val="008D08DD"/>
    <w:rsid w:val="008D0BD3"/>
    <w:rsid w:val="008D2879"/>
    <w:rsid w:val="008D3FF9"/>
    <w:rsid w:val="008D4587"/>
    <w:rsid w:val="008D6AD3"/>
    <w:rsid w:val="008E05BD"/>
    <w:rsid w:val="008E0B73"/>
    <w:rsid w:val="008E0F60"/>
    <w:rsid w:val="008E148C"/>
    <w:rsid w:val="008E3D58"/>
    <w:rsid w:val="008E6AFA"/>
    <w:rsid w:val="008E6C21"/>
    <w:rsid w:val="008E7803"/>
    <w:rsid w:val="008E7EFD"/>
    <w:rsid w:val="008F6FD5"/>
    <w:rsid w:val="0090061C"/>
    <w:rsid w:val="009056F4"/>
    <w:rsid w:val="00905997"/>
    <w:rsid w:val="0091170B"/>
    <w:rsid w:val="00913520"/>
    <w:rsid w:val="009149AF"/>
    <w:rsid w:val="009154C4"/>
    <w:rsid w:val="00922C6C"/>
    <w:rsid w:val="00924088"/>
    <w:rsid w:val="00925FAA"/>
    <w:rsid w:val="00926920"/>
    <w:rsid w:val="0092787E"/>
    <w:rsid w:val="00933923"/>
    <w:rsid w:val="00934A6A"/>
    <w:rsid w:val="00937457"/>
    <w:rsid w:val="00937DF5"/>
    <w:rsid w:val="00940990"/>
    <w:rsid w:val="00943B58"/>
    <w:rsid w:val="00945510"/>
    <w:rsid w:val="00952405"/>
    <w:rsid w:val="00955DDB"/>
    <w:rsid w:val="00957408"/>
    <w:rsid w:val="00957745"/>
    <w:rsid w:val="009630DA"/>
    <w:rsid w:val="0096315B"/>
    <w:rsid w:val="00967450"/>
    <w:rsid w:val="00974FA9"/>
    <w:rsid w:val="00975A30"/>
    <w:rsid w:val="00976FB1"/>
    <w:rsid w:val="009810A9"/>
    <w:rsid w:val="00981F5E"/>
    <w:rsid w:val="00983CFB"/>
    <w:rsid w:val="009900A6"/>
    <w:rsid w:val="00990ACF"/>
    <w:rsid w:val="00990DD8"/>
    <w:rsid w:val="00992899"/>
    <w:rsid w:val="00992B41"/>
    <w:rsid w:val="00992BD9"/>
    <w:rsid w:val="00994599"/>
    <w:rsid w:val="009A021D"/>
    <w:rsid w:val="009A025C"/>
    <w:rsid w:val="009A0648"/>
    <w:rsid w:val="009A2A56"/>
    <w:rsid w:val="009A6D1C"/>
    <w:rsid w:val="009B48DD"/>
    <w:rsid w:val="009B7155"/>
    <w:rsid w:val="009C0F38"/>
    <w:rsid w:val="009C375F"/>
    <w:rsid w:val="009C3CBF"/>
    <w:rsid w:val="009C4CE0"/>
    <w:rsid w:val="009C6B7D"/>
    <w:rsid w:val="009C791C"/>
    <w:rsid w:val="009C79F3"/>
    <w:rsid w:val="009D1789"/>
    <w:rsid w:val="009D1966"/>
    <w:rsid w:val="009D48BA"/>
    <w:rsid w:val="009D56F3"/>
    <w:rsid w:val="009E1E23"/>
    <w:rsid w:val="009E2E18"/>
    <w:rsid w:val="009F0583"/>
    <w:rsid w:val="009F212A"/>
    <w:rsid w:val="009F3102"/>
    <w:rsid w:val="009F37AF"/>
    <w:rsid w:val="00A01E1E"/>
    <w:rsid w:val="00A0429E"/>
    <w:rsid w:val="00A04C93"/>
    <w:rsid w:val="00A053A6"/>
    <w:rsid w:val="00A0574B"/>
    <w:rsid w:val="00A105CD"/>
    <w:rsid w:val="00A1107A"/>
    <w:rsid w:val="00A1217A"/>
    <w:rsid w:val="00A1697B"/>
    <w:rsid w:val="00A22DFC"/>
    <w:rsid w:val="00A237FD"/>
    <w:rsid w:val="00A2541F"/>
    <w:rsid w:val="00A27244"/>
    <w:rsid w:val="00A30F49"/>
    <w:rsid w:val="00A33BDA"/>
    <w:rsid w:val="00A35908"/>
    <w:rsid w:val="00A367F7"/>
    <w:rsid w:val="00A36C0B"/>
    <w:rsid w:val="00A3713C"/>
    <w:rsid w:val="00A408E4"/>
    <w:rsid w:val="00A429A7"/>
    <w:rsid w:val="00A44578"/>
    <w:rsid w:val="00A51B11"/>
    <w:rsid w:val="00A556BB"/>
    <w:rsid w:val="00A63360"/>
    <w:rsid w:val="00A634E1"/>
    <w:rsid w:val="00A64BA9"/>
    <w:rsid w:val="00A656EE"/>
    <w:rsid w:val="00A661D7"/>
    <w:rsid w:val="00A67070"/>
    <w:rsid w:val="00A67D8E"/>
    <w:rsid w:val="00A70AC4"/>
    <w:rsid w:val="00A714EB"/>
    <w:rsid w:val="00A73162"/>
    <w:rsid w:val="00A73FCB"/>
    <w:rsid w:val="00A74A20"/>
    <w:rsid w:val="00A777D0"/>
    <w:rsid w:val="00A826C8"/>
    <w:rsid w:val="00A82E4D"/>
    <w:rsid w:val="00A856DE"/>
    <w:rsid w:val="00A870C2"/>
    <w:rsid w:val="00A912A1"/>
    <w:rsid w:val="00A91302"/>
    <w:rsid w:val="00A9162E"/>
    <w:rsid w:val="00A9430E"/>
    <w:rsid w:val="00A95795"/>
    <w:rsid w:val="00A96123"/>
    <w:rsid w:val="00AA1C04"/>
    <w:rsid w:val="00AA1E47"/>
    <w:rsid w:val="00AA1E56"/>
    <w:rsid w:val="00AA341B"/>
    <w:rsid w:val="00AA3C67"/>
    <w:rsid w:val="00AA561B"/>
    <w:rsid w:val="00AA5C6F"/>
    <w:rsid w:val="00AA64E5"/>
    <w:rsid w:val="00AA7C8F"/>
    <w:rsid w:val="00AB1120"/>
    <w:rsid w:val="00AB131B"/>
    <w:rsid w:val="00AB17E2"/>
    <w:rsid w:val="00AB1AE9"/>
    <w:rsid w:val="00AB1B47"/>
    <w:rsid w:val="00AB25D6"/>
    <w:rsid w:val="00AB3895"/>
    <w:rsid w:val="00AB60D7"/>
    <w:rsid w:val="00AC0174"/>
    <w:rsid w:val="00AC2F09"/>
    <w:rsid w:val="00AC330D"/>
    <w:rsid w:val="00AC5367"/>
    <w:rsid w:val="00AC79E6"/>
    <w:rsid w:val="00AC7F75"/>
    <w:rsid w:val="00AD152E"/>
    <w:rsid w:val="00AD336C"/>
    <w:rsid w:val="00AD482B"/>
    <w:rsid w:val="00AD708F"/>
    <w:rsid w:val="00AD72D9"/>
    <w:rsid w:val="00AD75E7"/>
    <w:rsid w:val="00AE2D96"/>
    <w:rsid w:val="00AE4311"/>
    <w:rsid w:val="00AE4F71"/>
    <w:rsid w:val="00AE5282"/>
    <w:rsid w:val="00AF1349"/>
    <w:rsid w:val="00AF2A77"/>
    <w:rsid w:val="00AF2D9B"/>
    <w:rsid w:val="00AF53B3"/>
    <w:rsid w:val="00AF7533"/>
    <w:rsid w:val="00B027ED"/>
    <w:rsid w:val="00B04795"/>
    <w:rsid w:val="00B06416"/>
    <w:rsid w:val="00B06AEA"/>
    <w:rsid w:val="00B06FDE"/>
    <w:rsid w:val="00B0768C"/>
    <w:rsid w:val="00B14342"/>
    <w:rsid w:val="00B171C9"/>
    <w:rsid w:val="00B242A7"/>
    <w:rsid w:val="00B24F1A"/>
    <w:rsid w:val="00B270AA"/>
    <w:rsid w:val="00B415DC"/>
    <w:rsid w:val="00B47C3B"/>
    <w:rsid w:val="00B50886"/>
    <w:rsid w:val="00B5435B"/>
    <w:rsid w:val="00B5506C"/>
    <w:rsid w:val="00B57265"/>
    <w:rsid w:val="00B6399F"/>
    <w:rsid w:val="00B64631"/>
    <w:rsid w:val="00B71592"/>
    <w:rsid w:val="00B71F33"/>
    <w:rsid w:val="00B7589F"/>
    <w:rsid w:val="00B75BBF"/>
    <w:rsid w:val="00B77752"/>
    <w:rsid w:val="00B81B41"/>
    <w:rsid w:val="00B82124"/>
    <w:rsid w:val="00B87E3F"/>
    <w:rsid w:val="00B9581A"/>
    <w:rsid w:val="00B95CFB"/>
    <w:rsid w:val="00B96815"/>
    <w:rsid w:val="00B96F2E"/>
    <w:rsid w:val="00BA2882"/>
    <w:rsid w:val="00BA45C2"/>
    <w:rsid w:val="00BA4D40"/>
    <w:rsid w:val="00BA6765"/>
    <w:rsid w:val="00BA6791"/>
    <w:rsid w:val="00BA7BAA"/>
    <w:rsid w:val="00BB140B"/>
    <w:rsid w:val="00BB15AD"/>
    <w:rsid w:val="00BB3330"/>
    <w:rsid w:val="00BB3555"/>
    <w:rsid w:val="00BB4A6D"/>
    <w:rsid w:val="00BB5132"/>
    <w:rsid w:val="00BB581A"/>
    <w:rsid w:val="00BB61FF"/>
    <w:rsid w:val="00BB7B07"/>
    <w:rsid w:val="00BB7D50"/>
    <w:rsid w:val="00BB7F29"/>
    <w:rsid w:val="00BC2BBB"/>
    <w:rsid w:val="00BC2DCA"/>
    <w:rsid w:val="00BC34A5"/>
    <w:rsid w:val="00BC668C"/>
    <w:rsid w:val="00BC6860"/>
    <w:rsid w:val="00BC6FA5"/>
    <w:rsid w:val="00BC702A"/>
    <w:rsid w:val="00BC74B6"/>
    <w:rsid w:val="00BC7957"/>
    <w:rsid w:val="00BD0860"/>
    <w:rsid w:val="00BD14BC"/>
    <w:rsid w:val="00BD2D7F"/>
    <w:rsid w:val="00BD677D"/>
    <w:rsid w:val="00BD7378"/>
    <w:rsid w:val="00BD7417"/>
    <w:rsid w:val="00BD773E"/>
    <w:rsid w:val="00BE073C"/>
    <w:rsid w:val="00BE1A57"/>
    <w:rsid w:val="00BE602E"/>
    <w:rsid w:val="00BF3453"/>
    <w:rsid w:val="00BF3808"/>
    <w:rsid w:val="00BF4AE8"/>
    <w:rsid w:val="00BF4C42"/>
    <w:rsid w:val="00BF520F"/>
    <w:rsid w:val="00BF62F8"/>
    <w:rsid w:val="00BF7046"/>
    <w:rsid w:val="00C012ED"/>
    <w:rsid w:val="00C028FF"/>
    <w:rsid w:val="00C03415"/>
    <w:rsid w:val="00C04E1B"/>
    <w:rsid w:val="00C07535"/>
    <w:rsid w:val="00C107E6"/>
    <w:rsid w:val="00C13526"/>
    <w:rsid w:val="00C13625"/>
    <w:rsid w:val="00C15A14"/>
    <w:rsid w:val="00C1689C"/>
    <w:rsid w:val="00C2059A"/>
    <w:rsid w:val="00C20E00"/>
    <w:rsid w:val="00C24312"/>
    <w:rsid w:val="00C2471B"/>
    <w:rsid w:val="00C2481F"/>
    <w:rsid w:val="00C255A7"/>
    <w:rsid w:val="00C2599F"/>
    <w:rsid w:val="00C25D81"/>
    <w:rsid w:val="00C25E17"/>
    <w:rsid w:val="00C31318"/>
    <w:rsid w:val="00C32EFD"/>
    <w:rsid w:val="00C33336"/>
    <w:rsid w:val="00C34E33"/>
    <w:rsid w:val="00C36441"/>
    <w:rsid w:val="00C379F9"/>
    <w:rsid w:val="00C40561"/>
    <w:rsid w:val="00C43132"/>
    <w:rsid w:val="00C43862"/>
    <w:rsid w:val="00C446D0"/>
    <w:rsid w:val="00C46FF7"/>
    <w:rsid w:val="00C504BF"/>
    <w:rsid w:val="00C53449"/>
    <w:rsid w:val="00C54D01"/>
    <w:rsid w:val="00C57B13"/>
    <w:rsid w:val="00C60177"/>
    <w:rsid w:val="00C620DA"/>
    <w:rsid w:val="00C624D5"/>
    <w:rsid w:val="00C64999"/>
    <w:rsid w:val="00C6575D"/>
    <w:rsid w:val="00C65DD1"/>
    <w:rsid w:val="00C66690"/>
    <w:rsid w:val="00C66CA9"/>
    <w:rsid w:val="00C67504"/>
    <w:rsid w:val="00C706E6"/>
    <w:rsid w:val="00C71BEA"/>
    <w:rsid w:val="00C74827"/>
    <w:rsid w:val="00C76D91"/>
    <w:rsid w:val="00C76F88"/>
    <w:rsid w:val="00C77F69"/>
    <w:rsid w:val="00C826AF"/>
    <w:rsid w:val="00C8310B"/>
    <w:rsid w:val="00C831B1"/>
    <w:rsid w:val="00C8331F"/>
    <w:rsid w:val="00C8618B"/>
    <w:rsid w:val="00C87385"/>
    <w:rsid w:val="00C934E4"/>
    <w:rsid w:val="00C9438C"/>
    <w:rsid w:val="00C95052"/>
    <w:rsid w:val="00C95BE4"/>
    <w:rsid w:val="00C95DB3"/>
    <w:rsid w:val="00C96D4F"/>
    <w:rsid w:val="00C9762A"/>
    <w:rsid w:val="00CA0048"/>
    <w:rsid w:val="00CA0257"/>
    <w:rsid w:val="00CA1255"/>
    <w:rsid w:val="00CA159D"/>
    <w:rsid w:val="00CA77D5"/>
    <w:rsid w:val="00CB2752"/>
    <w:rsid w:val="00CB4521"/>
    <w:rsid w:val="00CB4A59"/>
    <w:rsid w:val="00CB6D84"/>
    <w:rsid w:val="00CB6F9C"/>
    <w:rsid w:val="00CC70D1"/>
    <w:rsid w:val="00CD232C"/>
    <w:rsid w:val="00CD3D17"/>
    <w:rsid w:val="00CD3ED5"/>
    <w:rsid w:val="00CD4879"/>
    <w:rsid w:val="00CD732E"/>
    <w:rsid w:val="00CE4642"/>
    <w:rsid w:val="00CE5196"/>
    <w:rsid w:val="00CE5C8B"/>
    <w:rsid w:val="00CE741D"/>
    <w:rsid w:val="00CF2D5B"/>
    <w:rsid w:val="00CF4BA7"/>
    <w:rsid w:val="00D00D42"/>
    <w:rsid w:val="00D0389B"/>
    <w:rsid w:val="00D03F9D"/>
    <w:rsid w:val="00D05885"/>
    <w:rsid w:val="00D06C9B"/>
    <w:rsid w:val="00D12DFA"/>
    <w:rsid w:val="00D13251"/>
    <w:rsid w:val="00D158C7"/>
    <w:rsid w:val="00D164F8"/>
    <w:rsid w:val="00D17006"/>
    <w:rsid w:val="00D22060"/>
    <w:rsid w:val="00D22D92"/>
    <w:rsid w:val="00D232C7"/>
    <w:rsid w:val="00D2348E"/>
    <w:rsid w:val="00D23D5E"/>
    <w:rsid w:val="00D2499D"/>
    <w:rsid w:val="00D26346"/>
    <w:rsid w:val="00D26640"/>
    <w:rsid w:val="00D269F7"/>
    <w:rsid w:val="00D32057"/>
    <w:rsid w:val="00D32712"/>
    <w:rsid w:val="00D327EB"/>
    <w:rsid w:val="00D32AAC"/>
    <w:rsid w:val="00D34121"/>
    <w:rsid w:val="00D35026"/>
    <w:rsid w:val="00D352AA"/>
    <w:rsid w:val="00D411EF"/>
    <w:rsid w:val="00D4125A"/>
    <w:rsid w:val="00D419E1"/>
    <w:rsid w:val="00D427A9"/>
    <w:rsid w:val="00D42802"/>
    <w:rsid w:val="00D428E6"/>
    <w:rsid w:val="00D43134"/>
    <w:rsid w:val="00D44F58"/>
    <w:rsid w:val="00D5100B"/>
    <w:rsid w:val="00D51DBB"/>
    <w:rsid w:val="00D544AB"/>
    <w:rsid w:val="00D558FE"/>
    <w:rsid w:val="00D55A41"/>
    <w:rsid w:val="00D56B9A"/>
    <w:rsid w:val="00D5724C"/>
    <w:rsid w:val="00D615D7"/>
    <w:rsid w:val="00D63EBE"/>
    <w:rsid w:val="00D6714F"/>
    <w:rsid w:val="00D67CF7"/>
    <w:rsid w:val="00D70D02"/>
    <w:rsid w:val="00D7372F"/>
    <w:rsid w:val="00D75487"/>
    <w:rsid w:val="00D765BA"/>
    <w:rsid w:val="00D812EB"/>
    <w:rsid w:val="00D83313"/>
    <w:rsid w:val="00D83E6F"/>
    <w:rsid w:val="00D8470B"/>
    <w:rsid w:val="00D848B7"/>
    <w:rsid w:val="00D84C2E"/>
    <w:rsid w:val="00D855EA"/>
    <w:rsid w:val="00D87C1D"/>
    <w:rsid w:val="00D91652"/>
    <w:rsid w:val="00D92630"/>
    <w:rsid w:val="00D93D26"/>
    <w:rsid w:val="00D953D6"/>
    <w:rsid w:val="00D95C91"/>
    <w:rsid w:val="00D961B0"/>
    <w:rsid w:val="00D9726F"/>
    <w:rsid w:val="00D97586"/>
    <w:rsid w:val="00D9767F"/>
    <w:rsid w:val="00D97EA1"/>
    <w:rsid w:val="00DA2864"/>
    <w:rsid w:val="00DA3191"/>
    <w:rsid w:val="00DA6581"/>
    <w:rsid w:val="00DA6FEF"/>
    <w:rsid w:val="00DA767D"/>
    <w:rsid w:val="00DA7770"/>
    <w:rsid w:val="00DB10D1"/>
    <w:rsid w:val="00DB122D"/>
    <w:rsid w:val="00DB1930"/>
    <w:rsid w:val="00DB26FF"/>
    <w:rsid w:val="00DB4177"/>
    <w:rsid w:val="00DB4202"/>
    <w:rsid w:val="00DB5BDA"/>
    <w:rsid w:val="00DB71EA"/>
    <w:rsid w:val="00DC5206"/>
    <w:rsid w:val="00DC5AF0"/>
    <w:rsid w:val="00DC607E"/>
    <w:rsid w:val="00DC63D2"/>
    <w:rsid w:val="00DC690B"/>
    <w:rsid w:val="00DD5813"/>
    <w:rsid w:val="00DD7A68"/>
    <w:rsid w:val="00DE0F00"/>
    <w:rsid w:val="00DE1035"/>
    <w:rsid w:val="00DE424D"/>
    <w:rsid w:val="00DE54BA"/>
    <w:rsid w:val="00DE58D6"/>
    <w:rsid w:val="00DE7B66"/>
    <w:rsid w:val="00DF3DCA"/>
    <w:rsid w:val="00DF4406"/>
    <w:rsid w:val="00DF5759"/>
    <w:rsid w:val="00DF633B"/>
    <w:rsid w:val="00E0096F"/>
    <w:rsid w:val="00E02014"/>
    <w:rsid w:val="00E03907"/>
    <w:rsid w:val="00E03AD6"/>
    <w:rsid w:val="00E04ADD"/>
    <w:rsid w:val="00E05D75"/>
    <w:rsid w:val="00E13955"/>
    <w:rsid w:val="00E13E9D"/>
    <w:rsid w:val="00E143B1"/>
    <w:rsid w:val="00E14A1B"/>
    <w:rsid w:val="00E15476"/>
    <w:rsid w:val="00E155C8"/>
    <w:rsid w:val="00E21A5D"/>
    <w:rsid w:val="00E22605"/>
    <w:rsid w:val="00E22B9A"/>
    <w:rsid w:val="00E24C2E"/>
    <w:rsid w:val="00E24DEE"/>
    <w:rsid w:val="00E2603A"/>
    <w:rsid w:val="00E304E9"/>
    <w:rsid w:val="00E30B10"/>
    <w:rsid w:val="00E30E41"/>
    <w:rsid w:val="00E328C1"/>
    <w:rsid w:val="00E34E54"/>
    <w:rsid w:val="00E3593C"/>
    <w:rsid w:val="00E36A63"/>
    <w:rsid w:val="00E36F27"/>
    <w:rsid w:val="00E37096"/>
    <w:rsid w:val="00E40AC2"/>
    <w:rsid w:val="00E42F36"/>
    <w:rsid w:val="00E435EC"/>
    <w:rsid w:val="00E46879"/>
    <w:rsid w:val="00E471A4"/>
    <w:rsid w:val="00E50409"/>
    <w:rsid w:val="00E51563"/>
    <w:rsid w:val="00E515D4"/>
    <w:rsid w:val="00E51AD7"/>
    <w:rsid w:val="00E55E6E"/>
    <w:rsid w:val="00E57088"/>
    <w:rsid w:val="00E609F6"/>
    <w:rsid w:val="00E612A0"/>
    <w:rsid w:val="00E64331"/>
    <w:rsid w:val="00E650B1"/>
    <w:rsid w:val="00E6521F"/>
    <w:rsid w:val="00E713AB"/>
    <w:rsid w:val="00E7509F"/>
    <w:rsid w:val="00E77297"/>
    <w:rsid w:val="00E81990"/>
    <w:rsid w:val="00E81A86"/>
    <w:rsid w:val="00E842AD"/>
    <w:rsid w:val="00E86AD6"/>
    <w:rsid w:val="00E8765D"/>
    <w:rsid w:val="00E90B80"/>
    <w:rsid w:val="00E92133"/>
    <w:rsid w:val="00E924DE"/>
    <w:rsid w:val="00E926EF"/>
    <w:rsid w:val="00E9638F"/>
    <w:rsid w:val="00EA0A15"/>
    <w:rsid w:val="00EA16F0"/>
    <w:rsid w:val="00EA1FD6"/>
    <w:rsid w:val="00EA784D"/>
    <w:rsid w:val="00EB0ACE"/>
    <w:rsid w:val="00EB1F49"/>
    <w:rsid w:val="00EB2983"/>
    <w:rsid w:val="00EB2CF2"/>
    <w:rsid w:val="00EB2EC8"/>
    <w:rsid w:val="00EB45EC"/>
    <w:rsid w:val="00EB5E3D"/>
    <w:rsid w:val="00EB6635"/>
    <w:rsid w:val="00EC1F81"/>
    <w:rsid w:val="00EC3955"/>
    <w:rsid w:val="00EC3EB3"/>
    <w:rsid w:val="00EC5F22"/>
    <w:rsid w:val="00ED44F7"/>
    <w:rsid w:val="00ED496E"/>
    <w:rsid w:val="00ED5233"/>
    <w:rsid w:val="00ED61CA"/>
    <w:rsid w:val="00ED6F5E"/>
    <w:rsid w:val="00ED71D5"/>
    <w:rsid w:val="00ED7A5B"/>
    <w:rsid w:val="00EE0B44"/>
    <w:rsid w:val="00EE34E9"/>
    <w:rsid w:val="00EE6A94"/>
    <w:rsid w:val="00EE7F66"/>
    <w:rsid w:val="00EF1D07"/>
    <w:rsid w:val="00EF30C1"/>
    <w:rsid w:val="00EF3310"/>
    <w:rsid w:val="00EF3588"/>
    <w:rsid w:val="00EF5202"/>
    <w:rsid w:val="00EF55AC"/>
    <w:rsid w:val="00EF55AF"/>
    <w:rsid w:val="00EF6EEF"/>
    <w:rsid w:val="00F00E3B"/>
    <w:rsid w:val="00F01D17"/>
    <w:rsid w:val="00F028DE"/>
    <w:rsid w:val="00F06176"/>
    <w:rsid w:val="00F06D62"/>
    <w:rsid w:val="00F074C2"/>
    <w:rsid w:val="00F075E8"/>
    <w:rsid w:val="00F07F18"/>
    <w:rsid w:val="00F1170D"/>
    <w:rsid w:val="00F121C1"/>
    <w:rsid w:val="00F135C0"/>
    <w:rsid w:val="00F1412A"/>
    <w:rsid w:val="00F151BF"/>
    <w:rsid w:val="00F15E53"/>
    <w:rsid w:val="00F17AEC"/>
    <w:rsid w:val="00F17B02"/>
    <w:rsid w:val="00F21371"/>
    <w:rsid w:val="00F2789C"/>
    <w:rsid w:val="00F32614"/>
    <w:rsid w:val="00F32F44"/>
    <w:rsid w:val="00F35600"/>
    <w:rsid w:val="00F40491"/>
    <w:rsid w:val="00F41E9F"/>
    <w:rsid w:val="00F45FFE"/>
    <w:rsid w:val="00F4617B"/>
    <w:rsid w:val="00F46E94"/>
    <w:rsid w:val="00F50F39"/>
    <w:rsid w:val="00F51876"/>
    <w:rsid w:val="00F53874"/>
    <w:rsid w:val="00F5469C"/>
    <w:rsid w:val="00F54813"/>
    <w:rsid w:val="00F6161B"/>
    <w:rsid w:val="00F6180A"/>
    <w:rsid w:val="00F63133"/>
    <w:rsid w:val="00F6401F"/>
    <w:rsid w:val="00F65A7B"/>
    <w:rsid w:val="00F6750C"/>
    <w:rsid w:val="00F70125"/>
    <w:rsid w:val="00F70992"/>
    <w:rsid w:val="00F72B3D"/>
    <w:rsid w:val="00F72D52"/>
    <w:rsid w:val="00F749DA"/>
    <w:rsid w:val="00F801DE"/>
    <w:rsid w:val="00F80A35"/>
    <w:rsid w:val="00F815E1"/>
    <w:rsid w:val="00F83A4C"/>
    <w:rsid w:val="00F8453E"/>
    <w:rsid w:val="00F852B3"/>
    <w:rsid w:val="00F856F0"/>
    <w:rsid w:val="00F86A9D"/>
    <w:rsid w:val="00F9179F"/>
    <w:rsid w:val="00F923D5"/>
    <w:rsid w:val="00F9648E"/>
    <w:rsid w:val="00FA1DF3"/>
    <w:rsid w:val="00FA252C"/>
    <w:rsid w:val="00FA2AC3"/>
    <w:rsid w:val="00FA313B"/>
    <w:rsid w:val="00FA4416"/>
    <w:rsid w:val="00FA495B"/>
    <w:rsid w:val="00FA6838"/>
    <w:rsid w:val="00FB1194"/>
    <w:rsid w:val="00FB3A62"/>
    <w:rsid w:val="00FB634E"/>
    <w:rsid w:val="00FB7793"/>
    <w:rsid w:val="00FB7D12"/>
    <w:rsid w:val="00FC0E9A"/>
    <w:rsid w:val="00FC48EC"/>
    <w:rsid w:val="00FC4D25"/>
    <w:rsid w:val="00FC5B79"/>
    <w:rsid w:val="00FC650E"/>
    <w:rsid w:val="00FC6BAD"/>
    <w:rsid w:val="00FC6BEB"/>
    <w:rsid w:val="00FD0A3E"/>
    <w:rsid w:val="00FD1109"/>
    <w:rsid w:val="00FD1F80"/>
    <w:rsid w:val="00FD35B0"/>
    <w:rsid w:val="00FD4127"/>
    <w:rsid w:val="00FD6A03"/>
    <w:rsid w:val="00FE012D"/>
    <w:rsid w:val="00FE0E5E"/>
    <w:rsid w:val="00FE10AA"/>
    <w:rsid w:val="00FE4C1C"/>
    <w:rsid w:val="00FE7912"/>
    <w:rsid w:val="00FF2C9B"/>
    <w:rsid w:val="00FF30D0"/>
    <w:rsid w:val="00FF3B83"/>
    <w:rsid w:val="00FF62BB"/>
    <w:rsid w:val="00FF7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502D5E"/>
  <w15:chartTrackingRefBased/>
  <w15:docId w15:val="{31955BEA-41DA-8B47-B922-DFF4027E8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01D"/>
    <w:pPr>
      <w:spacing w:line="259" w:lineRule="auto"/>
      <w:ind w:firstLine="720"/>
      <w:jc w:val="both"/>
    </w:pPr>
    <w:rPr>
      <w:sz w:val="22"/>
      <w:szCs w:val="22"/>
    </w:rPr>
  </w:style>
  <w:style w:type="paragraph" w:styleId="Heading1">
    <w:name w:val="heading 1"/>
    <w:basedOn w:val="Normal"/>
    <w:next w:val="Normal"/>
    <w:link w:val="Heading1Char"/>
    <w:uiPriority w:val="9"/>
    <w:qFormat/>
    <w:rsid w:val="004679FC"/>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9FC"/>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79FC"/>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9FC"/>
    <w:pPr>
      <w:keepNext/>
      <w:keepLines/>
      <w:spacing w:before="80" w:after="40" w:line="278" w:lineRule="auto"/>
      <w:ind w:firstLine="0"/>
      <w:jc w:val="left"/>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4679FC"/>
    <w:pPr>
      <w:keepNext/>
      <w:keepLines/>
      <w:spacing w:before="80" w:after="40" w:line="278" w:lineRule="auto"/>
      <w:ind w:firstLine="0"/>
      <w:jc w:val="left"/>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679FC"/>
    <w:pPr>
      <w:keepNext/>
      <w:keepLines/>
      <w:spacing w:before="40" w:after="0" w:line="278" w:lineRule="auto"/>
      <w:ind w:firstLine="0"/>
      <w:jc w:val="left"/>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4679FC"/>
    <w:pPr>
      <w:keepNext/>
      <w:keepLines/>
      <w:spacing w:before="40" w:after="0" w:line="278" w:lineRule="auto"/>
      <w:ind w:firstLine="0"/>
      <w:jc w:val="left"/>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679FC"/>
    <w:pPr>
      <w:keepNext/>
      <w:keepLines/>
      <w:spacing w:after="0" w:line="278" w:lineRule="auto"/>
      <w:ind w:firstLine="0"/>
      <w:jc w:val="left"/>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4679FC"/>
    <w:pPr>
      <w:keepNext/>
      <w:keepLines/>
      <w:spacing w:after="0" w:line="278" w:lineRule="auto"/>
      <w:ind w:firstLine="0"/>
      <w:jc w:val="left"/>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7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9FC"/>
    <w:rPr>
      <w:rFonts w:eastAsiaTheme="majorEastAsia" w:cstheme="majorBidi"/>
      <w:color w:val="272727" w:themeColor="text1" w:themeTint="D8"/>
    </w:rPr>
  </w:style>
  <w:style w:type="paragraph" w:styleId="Title">
    <w:name w:val="Title"/>
    <w:basedOn w:val="Normal"/>
    <w:next w:val="Normal"/>
    <w:link w:val="TitleChar"/>
    <w:uiPriority w:val="10"/>
    <w:qFormat/>
    <w:rsid w:val="004679FC"/>
    <w:pPr>
      <w:spacing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9FC"/>
    <w:pPr>
      <w:numPr>
        <w:ilvl w:val="1"/>
      </w:numPr>
      <w:spacing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9FC"/>
    <w:pPr>
      <w:spacing w:before="160" w:line="278" w:lineRule="auto"/>
      <w:ind w:firstLine="0"/>
      <w:jc w:val="center"/>
    </w:pPr>
    <w:rPr>
      <w:i/>
      <w:iCs/>
      <w:color w:val="404040" w:themeColor="text1" w:themeTint="BF"/>
      <w:sz w:val="24"/>
      <w:szCs w:val="24"/>
    </w:rPr>
  </w:style>
  <w:style w:type="character" w:customStyle="1" w:styleId="QuoteChar">
    <w:name w:val="Quote Char"/>
    <w:basedOn w:val="DefaultParagraphFont"/>
    <w:link w:val="Quote"/>
    <w:uiPriority w:val="29"/>
    <w:rsid w:val="004679FC"/>
    <w:rPr>
      <w:i/>
      <w:iCs/>
      <w:color w:val="404040" w:themeColor="text1" w:themeTint="BF"/>
    </w:rPr>
  </w:style>
  <w:style w:type="paragraph" w:styleId="ListParagraph">
    <w:name w:val="List Paragraph"/>
    <w:basedOn w:val="Normal"/>
    <w:uiPriority w:val="34"/>
    <w:qFormat/>
    <w:rsid w:val="004679FC"/>
    <w:pPr>
      <w:spacing w:line="278" w:lineRule="auto"/>
      <w:ind w:left="720" w:firstLine="0"/>
      <w:contextualSpacing/>
      <w:jc w:val="left"/>
    </w:pPr>
    <w:rPr>
      <w:sz w:val="24"/>
      <w:szCs w:val="24"/>
    </w:rPr>
  </w:style>
  <w:style w:type="character" w:styleId="IntenseEmphasis">
    <w:name w:val="Intense Emphasis"/>
    <w:basedOn w:val="DefaultParagraphFont"/>
    <w:uiPriority w:val="21"/>
    <w:qFormat/>
    <w:rsid w:val="004679FC"/>
    <w:rPr>
      <w:i/>
      <w:iCs/>
      <w:color w:val="0F4761" w:themeColor="accent1" w:themeShade="BF"/>
    </w:rPr>
  </w:style>
  <w:style w:type="paragraph" w:styleId="IntenseQuote">
    <w:name w:val="Intense Quote"/>
    <w:basedOn w:val="Normal"/>
    <w:next w:val="Normal"/>
    <w:link w:val="IntenseQuoteChar"/>
    <w:uiPriority w:val="30"/>
    <w:qFormat/>
    <w:rsid w:val="004679FC"/>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4679FC"/>
    <w:rPr>
      <w:i/>
      <w:iCs/>
      <w:color w:val="0F4761" w:themeColor="accent1" w:themeShade="BF"/>
    </w:rPr>
  </w:style>
  <w:style w:type="character" w:styleId="IntenseReference">
    <w:name w:val="Intense Reference"/>
    <w:basedOn w:val="DefaultParagraphFont"/>
    <w:uiPriority w:val="32"/>
    <w:qFormat/>
    <w:rsid w:val="004679FC"/>
    <w:rPr>
      <w:b/>
      <w:bCs/>
      <w:smallCaps/>
      <w:color w:val="0F4761" w:themeColor="accent1" w:themeShade="BF"/>
      <w:spacing w:val="5"/>
    </w:rPr>
  </w:style>
  <w:style w:type="character" w:styleId="PlaceholderText">
    <w:name w:val="Placeholder Text"/>
    <w:basedOn w:val="DefaultParagraphFont"/>
    <w:uiPriority w:val="99"/>
    <w:semiHidden/>
    <w:rsid w:val="00E81A86"/>
    <w:rPr>
      <w:color w:val="666666"/>
    </w:rPr>
  </w:style>
  <w:style w:type="paragraph" w:styleId="Bibliography">
    <w:name w:val="Bibliography"/>
    <w:basedOn w:val="Normal"/>
    <w:next w:val="Normal"/>
    <w:uiPriority w:val="37"/>
    <w:unhideWhenUsed/>
    <w:rsid w:val="00E24C2E"/>
    <w:pPr>
      <w:tabs>
        <w:tab w:val="left" w:pos="260"/>
      </w:tabs>
      <w:spacing w:after="0" w:line="240" w:lineRule="auto"/>
      <w:ind w:left="264" w:hanging="264"/>
    </w:pPr>
  </w:style>
  <w:style w:type="character" w:styleId="Hyperlink">
    <w:name w:val="Hyperlink"/>
    <w:basedOn w:val="DefaultParagraphFont"/>
    <w:uiPriority w:val="99"/>
    <w:unhideWhenUsed/>
    <w:rsid w:val="0055080E"/>
    <w:rPr>
      <w:color w:val="467886" w:themeColor="hyperlink"/>
      <w:u w:val="single"/>
    </w:rPr>
  </w:style>
  <w:style w:type="character" w:styleId="UnresolvedMention">
    <w:name w:val="Unresolved Mention"/>
    <w:basedOn w:val="DefaultParagraphFont"/>
    <w:uiPriority w:val="99"/>
    <w:semiHidden/>
    <w:unhideWhenUsed/>
    <w:rsid w:val="0055080E"/>
    <w:rPr>
      <w:color w:val="605E5C"/>
      <w:shd w:val="clear" w:color="auto" w:fill="E1DFDD"/>
    </w:rPr>
  </w:style>
  <w:style w:type="paragraph" w:customStyle="1" w:styleId="font-claude-response-body">
    <w:name w:val="font-claude-response-body"/>
    <w:basedOn w:val="Normal"/>
    <w:rsid w:val="00EC3955"/>
    <w:pPr>
      <w:spacing w:before="100" w:beforeAutospacing="1" w:after="100" w:afterAutospacing="1" w:line="240" w:lineRule="auto"/>
      <w:ind w:firstLine="0"/>
      <w:jc w:val="left"/>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C39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nseraphin/Mtb_isnv_detection_calibration" TargetMode="External"/><Relationship Id="rId5" Type="http://schemas.openxmlformats.org/officeDocument/2006/relationships/hyperlink" Target="https://github.com/mnseraphin/Mtb_isnv_detection_calibr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022129-7CF7-DB4E-830B-853EB3187824}">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496</TotalTime>
  <Pages>21</Pages>
  <Words>16587</Words>
  <Characters>94552</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Séraphin, Marie Nancy</dc:creator>
  <cp:keywords/>
  <dc:description/>
  <cp:lastModifiedBy>Seraphin, Marie N.</cp:lastModifiedBy>
  <cp:revision>490</cp:revision>
  <dcterms:created xsi:type="dcterms:W3CDTF">2026-05-05T12:22:00Z</dcterms:created>
  <dcterms:modified xsi:type="dcterms:W3CDTF">2026-05-09T15:25:00Z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id="IgRQU0M5"/&gt;&lt;style id="http://www.zotero.org/styles/national-institute-of-health-research" hasBibliography="1" bibliographyStyleHasBeenSet="1"/&gt;&lt;prefs&gt;&lt;pref name="fieldType" value="Field"/&gt;&lt;/prefs&gt;</vt:lpwstr>
  </property>
  <property fmtid="{D5CDD505-2E9C-101B-9397-08002B2CF9AE}" pid="3" name="ZOTERO_PREF_2">
    <vt:lpwstr>&lt;/data&gt;</vt:lpwstr>
  </property>
</Properties>
</file>