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F99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360" w:lineRule="auto"/>
        <w:ind w:firstLine="708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МИНИСТЕРСТВО ОБРАЗОВАНИЯ И НАУКИ   РОССИЙСКОЙ ФЕДЕРАЦИИ</w:t>
      </w:r>
    </w:p>
    <w:p w14:paraId="619765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360" w:lineRule="auto"/>
        <w:ind w:firstLine="709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F3559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360" w:lineRule="auto"/>
        <w:ind w:firstLine="709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«САМАРСКИЙ НАЦИОНАЛЬНЫЙ ИССЛЕДОВАТЕЛЬСКИЙ УНИВЕРСИТЕТ ИМЕНИ АКАДЕМИКА С. П. КОРОЛЕВА»</w:t>
      </w:r>
    </w:p>
    <w:p w14:paraId="4225190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«САМАРСКИЙ УНИВЕРСИТЕТ»</w:t>
      </w:r>
    </w:p>
    <w:p w14:paraId="3B16F45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94059D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C7CCB4E">
      <w:pPr>
        <w:rPr>
          <w:rFonts w:hint="default" w:ascii="Times New Roman" w:hAnsi="Times New Roman" w:cs="Times New Roman"/>
          <w:sz w:val="28"/>
          <w:szCs w:val="28"/>
        </w:rPr>
      </w:pPr>
    </w:p>
    <w:p w14:paraId="0BB3545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3916B3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геоинформатики и информационной безопасности</w:t>
      </w:r>
    </w:p>
    <w:p w14:paraId="0E92C06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320C6D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B138D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7F9576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21D79E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72CD2A3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«МОДУЛИРОВАННЫЕ СИГНАЛЫ»</w:t>
      </w:r>
    </w:p>
    <w:p w14:paraId="6C7F1A7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E526AA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4D01C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71CD4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A9661B1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</w:p>
    <w:p w14:paraId="04C3B75F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Симонов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576885D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гр. 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311</w:t>
      </w:r>
      <w:r>
        <w:rPr>
          <w:rFonts w:hint="default" w:ascii="Times New Roman" w:hAnsi="Times New Roman" w:cs="Times New Roman"/>
          <w:sz w:val="28"/>
          <w:szCs w:val="28"/>
        </w:rPr>
        <w:t>-100503D</w:t>
      </w:r>
    </w:p>
    <w:p w14:paraId="6C453654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Советкина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BDB1E14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33FFCB8">
      <w:pPr>
        <w:ind w:left="2832" w:firstLine="708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Самара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7E1DEE36">
      <w:pPr>
        <w:ind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АМПЛИТУДНАЯ МОДУЛЯЦИЯ</w:t>
      </w:r>
    </w:p>
    <w:p w14:paraId="37F9FCDE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4710" cy="3891280"/>
            <wp:effectExtent l="0" t="0" r="8890" b="10160"/>
            <wp:docPr id="3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756C">
      <w:pPr>
        <w:ind w:firstLine="0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Глубина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модуляции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B60EFC0">
      <w:pPr>
        <w:jc w:val="center"/>
        <w:rPr>
          <w:rFonts w:hint="default" w:ascii="Times New Roman" w:hAnsi="Times New Roman" w:eastAsia="Cambria Math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Cambria Math" w:hAnsi="Cambria Math" w:eastAsia="Cambria Math" w:cs="Times New Roman"/>
              <w:i/>
              <w:sz w:val="28"/>
              <w:szCs w:val="28"/>
            </w:rPr>
            <m:t>m</m:t>
          </m:r>
          <m:r>
            <m:rPr>
              <m:nor/>
              <m:sty m:val="p"/>
            </m:rPr>
            <w:rPr>
              <w:rFonts w:hint="default" w:ascii="Cambria Math" w:hAnsi="Cambria Math" w:eastAsia="Cambria Math" w:cs="Times New Roman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Cambria Math" w:cs="Times New Roman"/>
                      <w:i w:val="0"/>
                      <w:sz w:val="28"/>
                      <w:szCs w:val="28"/>
                      <w:lang w:val="ru-RU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i w:val="0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min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b w:val="0"/>
                  <w:i w:val="0"/>
                  <w:sz w:val="28"/>
                  <w:szCs w:val="28"/>
                  <w:lang w:val="ru-RU"/>
                </w:rPr>
                <m:t>)ампл. огибающей</m:t>
              </m: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Cambria Math" w:cs="Times New Roman"/>
                      <w:i w:val="0"/>
                      <w:sz w:val="28"/>
                      <w:szCs w:val="28"/>
                      <w:lang w:val="ru-RU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max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i w:val="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mbria Math" w:cs="Times New Roman"/>
                      <w:i/>
                      <w:sz w:val="28"/>
                      <w:szCs w:val="28"/>
                    </w:rPr>
                    <m:t>min</m:t>
                  </m:r>
                  <m:ctrlPr>
                    <w:rPr>
                      <w:rFonts w:hint="default" w:ascii="Cambria Math" w:hAnsi="Cambria Math" w:eastAsia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b w:val="0"/>
                  <w:i w:val="0"/>
                  <w:sz w:val="28"/>
                  <w:szCs w:val="28"/>
                  <w:lang w:val="ru-RU"/>
                </w:rPr>
                <m:t>)ампл. огибающей</m:t>
              </m: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Cambria Math" w:cs="Times New Roman"/>
              <w:i w:val="0"/>
              <w:sz w:val="28"/>
              <w:szCs w:val="28"/>
            </w:rPr>
            <m:t xml:space="preserve">∗100%= </m:t>
          </m:r>
          <m:f>
            <m:fP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i w:val="0"/>
                  <w:sz w:val="28"/>
                  <w:szCs w:val="28"/>
                </w:rPr>
                <m:t>1.75−0.23</m:t>
              </m: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eastAsia="Cambria Math" w:cs="Times New Roman"/>
                  <w:i w:val="0"/>
                  <w:sz w:val="28"/>
                  <w:szCs w:val="28"/>
                </w:rPr>
                <m:t>1.75+0.23</m:t>
              </m:r>
              <m:ctrlPr>
                <w:rPr>
                  <w:rFonts w:hint="default" w:ascii="Cambria Math" w:hAnsi="Cambria Math" w:eastAsia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Cambria Math" w:cs="Times New Roman"/>
              <w:i w:val="0"/>
              <w:sz w:val="28"/>
              <w:szCs w:val="28"/>
            </w:rPr>
            <m:t>∗100%=76%</m:t>
          </m:r>
        </m:oMath>
      </m:oMathPara>
    </w:p>
    <w:p w14:paraId="314EB8F4">
      <w:pPr>
        <w:ind w:firstLine="0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8520" cy="1510665"/>
            <wp:effectExtent l="0" t="0" r="5080" b="13335"/>
            <wp:docPr id="4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04CC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Частотное расстояние = 50000-49000 = 1кГц</w:t>
      </w:r>
    </w:p>
    <w:p w14:paraId="6EB22300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6615" cy="1633220"/>
            <wp:effectExtent l="0" t="0" r="6985" b="12700"/>
            <wp:docPr id="4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CDA5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Мощность максимальной гармоники = 0.25Вт</w:t>
      </w:r>
    </w:p>
    <w:p w14:paraId="33B0886F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7250" cy="1468755"/>
            <wp:effectExtent l="0" t="0" r="6350" b="9525"/>
            <wp:docPr id="4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22D2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Мощность минимальных гармоник = 0.0352 Вт</w:t>
      </w:r>
    </w:p>
    <w:p w14:paraId="1B5AB00D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9790" cy="1442085"/>
            <wp:effectExtent l="0" t="0" r="3810" b="5715"/>
            <wp:docPr id="4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E3D6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76DF25A7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5813336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7EE28502">
      <w:pPr>
        <w:ind w:firstLine="708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Периодический модулирующий сигнал</w:t>
      </w:r>
    </w:p>
    <w:p w14:paraId="144DE11B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FMOD = 1000</w:t>
      </w:r>
    </w:p>
    <w:p w14:paraId="2A892C1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99940" cy="2327275"/>
            <wp:effectExtent l="0" t="0" r="2540" b="4445"/>
            <wp:docPr id="6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F0FF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FMOD = 2000</w:t>
      </w:r>
    </w:p>
    <w:p w14:paraId="7085E2D1">
      <w:pPr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99330" cy="2585085"/>
            <wp:effectExtent l="0" t="0" r="1270" b="5715"/>
            <wp:docPr id="6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364D">
      <w:pPr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FMOD = 8000</w:t>
      </w:r>
    </w:p>
    <w:p w14:paraId="1A7D65AD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69840" cy="2511425"/>
            <wp:effectExtent l="0" t="0" r="5080" b="3175"/>
            <wp:docPr id="6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4FA3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увеличении частоты амплитуды смещаются по оси частот.</w:t>
      </w:r>
    </w:p>
    <w:p w14:paraId="5C6AE2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F6D5D7D">
      <w:pPr>
        <w:ind w:firstLine="0"/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>Длительность в 2 раза меньше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:</w:t>
      </w:r>
    </w:p>
    <w:p w14:paraId="1D59BEF1">
      <w:pPr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68290" cy="2923540"/>
            <wp:effectExtent l="0" t="0" r="1143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6499">
      <w:pPr>
        <w:ind w:firstLine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 xml:space="preserve">Длительность в 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 xml:space="preserve"> раза меньше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en-US"/>
        </w:rPr>
        <w:t>:</w:t>
      </w:r>
    </w:p>
    <w:p w14:paraId="35C4DA75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42890" cy="2877820"/>
            <wp:effectExtent l="0" t="0" r="635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7FB9">
      <w:pPr>
        <w:pStyle w:val="15"/>
        <w:spacing w:before="0" w:beforeAutospacing="0" w:after="160" w:afterAutospacing="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уменьшении длительность сигнала увеличивается количество гармоник, ширина сигнала содержащая 90% мощности равна примерно 4кГц.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Для амплитудной модуляции (AM) ширина полосы сигнала остается постоянной. </w:t>
      </w:r>
    </w:p>
    <w:p w14:paraId="5D691B2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page"/>
      </w:r>
    </w:p>
    <w:p w14:paraId="7ACD9A48">
      <w:pPr>
        <w:ind w:firstLine="2268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Псевдослучайный модулирующий сигнал</w:t>
      </w:r>
    </w:p>
    <w:p w14:paraId="7C166ADE">
      <w:pP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Псевдослучайный 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ru-RU"/>
        </w:rPr>
        <w:t>сигнал (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>cos)</w:t>
      </w:r>
    </w:p>
    <w:p w14:paraId="508176F2">
      <w:pPr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7885" cy="3082925"/>
            <wp:effectExtent l="0" t="0" r="571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F4F9">
      <w:pP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Псевдослучайный 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ru-RU"/>
        </w:rPr>
        <w:t>сигнал (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>sin)</w:t>
      </w:r>
    </w:p>
    <w:p w14:paraId="57D2C4DC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1535" cy="3019425"/>
            <wp:effectExtent l="0" t="0" r="1206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0CF4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124D88E2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смене сигнала на псевдослучайный и дальнейшем изменении частоты наибольшая гармоника соответствует частоте сигнала. При смене сигнала с косинуса на синус сигналы отражаются по оси, при этом от дополнительных скачков избавиться не получилось.</w:t>
      </w:r>
    </w:p>
    <w:p w14:paraId="551A9D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8E8B38F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ru-RU"/>
        </w:rPr>
        <w:t xml:space="preserve">Одиночный прямоугольный сигнал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7250" cy="3293745"/>
            <wp:effectExtent l="0" t="0" r="635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3CFC">
      <w:pPr>
        <w:ind w:firstLine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С периодической последовательностью график был дискретный, состоял из отдельный гармоник, сейчас он непрерывный, имеет форму sinc-функции, нули расположены на определенных частотах</w:t>
      </w:r>
    </w:p>
    <w:p w14:paraId="1553586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06AD447A">
      <w:pPr>
        <w:ind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БАЛАНСНАЯ МОДУЛЯЦИЯ</w:t>
      </w:r>
    </w:p>
    <w:p w14:paraId="67E567DA">
      <w:pPr>
        <w:ind w:firstLine="0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k = 1.0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 xml:space="preserve"> </w:t>
      </w:r>
    </w:p>
    <w:p w14:paraId="529A3889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Мощность максимальной гармоники = 0.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25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Вт</w:t>
      </w:r>
    </w:p>
    <w:p w14:paraId="42A3D7C9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Мощность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несущей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гармоники = 0.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25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16321409">
      <w:pPr>
        <w:ind w:firstLine="0"/>
        <w:jc w:val="both"/>
      </w:pPr>
      <w:r>
        <w:drawing>
          <wp:inline distT="0" distB="0" distL="114300" distR="114300">
            <wp:extent cx="5931535" cy="1455420"/>
            <wp:effectExtent l="0" t="0" r="12065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82B">
      <w:pPr>
        <w:ind w:firstLine="0"/>
        <w:jc w:val="both"/>
      </w:pPr>
      <w:r>
        <w:drawing>
          <wp:inline distT="0" distB="0" distL="114300" distR="114300">
            <wp:extent cx="5932170" cy="1450975"/>
            <wp:effectExtent l="0" t="0" r="11430" b="1206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5CA0">
      <w:pPr>
        <w:ind w:firstLine="0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k = 0.5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 xml:space="preserve"> </w:t>
      </w:r>
    </w:p>
    <w:p w14:paraId="2C669920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Мощность максимальной гармоники = 0.0625 Вт</w:t>
      </w:r>
    </w:p>
    <w:p w14:paraId="0F6D6405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Мощность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несущей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625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06DAB57B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66485" cy="1507490"/>
            <wp:effectExtent l="0" t="0" r="5715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5D78">
      <w:pPr>
        <w:ind w:firstLine="0"/>
        <w:jc w:val="center"/>
      </w:pPr>
      <w:r>
        <w:drawing>
          <wp:inline distT="0" distB="0" distL="114300" distR="114300">
            <wp:extent cx="5924550" cy="1496695"/>
            <wp:effectExtent l="0" t="0" r="3810" b="1206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29AA">
      <w:pPr>
        <w:ind w:firstLine="0"/>
        <w:jc w:val="center"/>
        <w:rPr>
          <w:rFonts w:hint="default"/>
          <w:lang w:val="en-US"/>
        </w:rPr>
      </w:pPr>
    </w:p>
    <w:p w14:paraId="27E1EF13">
      <w:pPr>
        <w:ind w:firstLine="0"/>
        <w:jc w:val="center"/>
      </w:pPr>
    </w:p>
    <w:p w14:paraId="7C385220">
      <w:pPr>
        <w:ind w:firstLine="0"/>
        <w:jc w:val="center"/>
      </w:pPr>
    </w:p>
    <w:p w14:paraId="43E9ABE2">
      <w:pPr>
        <w:ind w:firstLine="0"/>
        <w:jc w:val="center"/>
      </w:pPr>
    </w:p>
    <w:p w14:paraId="6FBF5DAB">
      <w:pPr>
        <w:ind w:firstLine="0"/>
        <w:jc w:val="center"/>
      </w:pPr>
    </w:p>
    <w:p w14:paraId="6853E100">
      <w:pPr>
        <w:ind w:firstLine="0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k = 0.25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 xml:space="preserve"> </w:t>
      </w:r>
    </w:p>
    <w:p w14:paraId="63C85401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Мощность максимальной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352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0A433E28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Мощность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несущей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155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3998DD97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3440" cy="1451610"/>
            <wp:effectExtent l="0" t="0" r="1016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A923">
      <w:pPr>
        <w:ind w:firstLine="0"/>
        <w:jc w:val="center"/>
      </w:pPr>
      <w:r>
        <w:drawing>
          <wp:inline distT="0" distB="0" distL="114300" distR="114300">
            <wp:extent cx="5938520" cy="1488440"/>
            <wp:effectExtent l="0" t="0" r="5080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B50C">
      <w:pPr>
        <w:ind w:firstLine="0"/>
        <w:jc w:val="both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k = 0.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>1</w:t>
      </w:r>
    </w:p>
    <w:p w14:paraId="7F71C91B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Мощность максимальной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352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58E82D5E">
      <w:pPr>
        <w:ind w:firstLine="0"/>
        <w:jc w:val="left"/>
        <w:rPr>
          <w:rFonts w:hint="default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Мощность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несущей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025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7341802A">
      <w:pPr>
        <w:ind w:firstLine="0"/>
        <w:jc w:val="left"/>
      </w:pPr>
      <w:r>
        <w:drawing>
          <wp:inline distT="0" distB="0" distL="114300" distR="114300">
            <wp:extent cx="5927725" cy="1487170"/>
            <wp:effectExtent l="0" t="0" r="635" b="635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FCEC">
      <w:pPr>
        <w:ind w:firstLine="0"/>
        <w:jc w:val="left"/>
        <w:rPr>
          <w:rFonts w:hint="default"/>
        </w:rPr>
      </w:pPr>
      <w:r>
        <w:drawing>
          <wp:inline distT="0" distB="0" distL="114300" distR="114300">
            <wp:extent cx="5927090" cy="1482725"/>
            <wp:effectExtent l="0" t="0" r="1270" b="1079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663C">
      <w:pPr>
        <w:ind w:firstLine="0"/>
        <w:jc w:val="both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k = 0.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>0</w:t>
      </w:r>
    </w:p>
    <w:p w14:paraId="24F66842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Мощность максимальной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352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50829437">
      <w:pPr>
        <w:ind w:firstLine="0"/>
        <w:jc w:val="lef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Мощность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несущей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гармоники = 0.0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00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Вт</w:t>
      </w:r>
    </w:p>
    <w:p w14:paraId="733F623A">
      <w:pPr>
        <w:ind w:firstLine="0"/>
        <w:jc w:val="left"/>
      </w:pPr>
      <w:r>
        <w:drawing>
          <wp:inline distT="0" distB="0" distL="114300" distR="114300">
            <wp:extent cx="5932170" cy="1444625"/>
            <wp:effectExtent l="0" t="0" r="11430" b="317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E5E1">
      <w:pPr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8360" cy="1524635"/>
            <wp:effectExtent l="0" t="0" r="0" b="1460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5228">
      <w:pPr>
        <w:ind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k = 0.25 и k = 0 наблюдаем существенное подавление несущей гармоники.</w:t>
      </w:r>
    </w:p>
    <w:p w14:paraId="1FE9A8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A1F1C2F">
      <w:pPr>
        <w:ind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УГЛОВАЯ МОДУЛЯЦИЯ</w:t>
      </w:r>
    </w:p>
    <w:p w14:paraId="6F2BFF8D">
      <w:pPr>
        <w:ind w:firstLine="0"/>
        <w:jc w:val="both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m = 10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>0</w:t>
      </w:r>
    </w:p>
    <w:p w14:paraId="4CDD955B">
      <w:pPr>
        <w:ind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9790" cy="1524000"/>
            <wp:effectExtent l="0" t="0" r="381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97EA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1460500"/>
            <wp:effectExtent l="0" t="0" r="5080" b="254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2DA3">
      <w:pPr>
        <w:ind w:firstLine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m = 10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>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00</w:t>
      </w:r>
    </w:p>
    <w:p w14:paraId="0ED4B089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5185" cy="1471295"/>
            <wp:effectExtent l="0" t="0" r="3175" b="698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9D30">
      <w:pPr>
        <w:ind w:firstLine="0"/>
        <w:jc w:val="center"/>
      </w:pPr>
      <w:r>
        <w:drawing>
          <wp:inline distT="0" distB="0" distL="114300" distR="114300">
            <wp:extent cx="5922645" cy="1466850"/>
            <wp:effectExtent l="0" t="0" r="5715" b="1143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D642">
      <w:pPr>
        <w:ind w:firstLine="0"/>
        <w:jc w:val="center"/>
      </w:pPr>
    </w:p>
    <w:p w14:paraId="5723A02A">
      <w:pPr>
        <w:ind w:firstLine="0"/>
        <w:jc w:val="center"/>
      </w:pPr>
    </w:p>
    <w:p w14:paraId="090B067F">
      <w:pPr>
        <w:ind w:firstLine="0"/>
        <w:jc w:val="center"/>
      </w:pPr>
    </w:p>
    <w:p w14:paraId="0F07FD1E">
      <w:pPr>
        <w:ind w:firstLine="0"/>
        <w:jc w:val="center"/>
      </w:pPr>
    </w:p>
    <w:p w14:paraId="01CF6489">
      <w:pPr>
        <w:ind w:firstLine="0"/>
        <w:jc w:val="center"/>
      </w:pPr>
    </w:p>
    <w:p w14:paraId="5239BE0B">
      <w:pPr>
        <w:ind w:firstLine="0"/>
        <w:jc w:val="left"/>
      </w:pPr>
    </w:p>
    <w:p w14:paraId="301696E6">
      <w:pPr>
        <w:ind w:firstLine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m = 10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>0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00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ru-RU"/>
        </w:rPr>
        <w:t xml:space="preserve">и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yellow"/>
          <w:lang w:val="en-US"/>
        </w:rPr>
        <w:t>FMOD*2 (FMOD=20)</w:t>
      </w:r>
    </w:p>
    <w:p w14:paraId="53289E09">
      <w:pPr>
        <w:ind w:firstLine="0"/>
        <w:jc w:val="both"/>
        <w:rPr>
          <w:rFonts w:hint="default"/>
        </w:rPr>
      </w:pPr>
      <w:r>
        <w:drawing>
          <wp:inline distT="0" distB="0" distL="114300" distR="114300">
            <wp:extent cx="5925820" cy="1482090"/>
            <wp:effectExtent l="0" t="0" r="2540" b="1143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472565"/>
            <wp:effectExtent l="0" t="0" r="6985" b="5715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60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величение частоты модуляции в 2 раза вызывает соответствующее расширение полосы частот в 2 раза. Повышение индекса модуляции способствует расширению спектра и повышению детализации его структуры.</w:t>
      </w:r>
    </w:p>
    <w:p w14:paraId="370F3267">
      <w:pPr>
        <w:rPr>
          <w:rFonts w:hint="default" w:ascii="Times New Roman" w:hAnsi="Times New Roman" w:cs="Times New Roman"/>
          <w:sz w:val="28"/>
          <w:szCs w:val="28"/>
        </w:rPr>
      </w:pPr>
    </w:p>
    <w:p w14:paraId="4DC882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A313D5F">
      <w:pPr>
        <w:ind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ЧАСТОТНАЯ МАНИПУЛЯЦИЯ</w:t>
      </w:r>
    </w:p>
    <w:p w14:paraId="251024F6">
      <w:pPr>
        <w:ind w:firstLine="0"/>
        <w:jc w:val="left"/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1 Ghz </w:t>
      </w:r>
    </w:p>
    <w:p w14:paraId="28739DAD">
      <w:pPr>
        <w:ind w:firstLine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Ширина спектра = 2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0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KHz </w:t>
      </w:r>
    </w:p>
    <w:p w14:paraId="1393C00C">
      <w:pPr>
        <w:ind w:firstLine="0"/>
        <w:jc w:val="left"/>
      </w:pPr>
      <w:r>
        <w:drawing>
          <wp:inline distT="0" distB="0" distL="114300" distR="114300">
            <wp:extent cx="5829935" cy="1497965"/>
            <wp:effectExtent l="0" t="0" r="6985" b="10795"/>
            <wp:docPr id="2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F55E">
      <w:pPr>
        <w:ind w:firstLine="0"/>
        <w:jc w:val="center"/>
      </w:pPr>
      <w:r>
        <w:drawing>
          <wp:inline distT="0" distB="0" distL="114300" distR="114300">
            <wp:extent cx="5811520" cy="1493520"/>
            <wp:effectExtent l="0" t="0" r="10160" b="0"/>
            <wp:docPr id="2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EA57">
      <w:pPr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71845" cy="1431925"/>
            <wp:effectExtent l="0" t="0" r="10795" b="635"/>
            <wp:docPr id="2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7834">
      <w:pPr>
        <w:ind w:firstLine="0"/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2 Ghz </w:t>
      </w:r>
    </w:p>
    <w:p w14:paraId="104022F4">
      <w:pPr>
        <w:ind w:firstLine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Ширина спектра =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0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KHz</w:t>
      </w:r>
    </w:p>
    <w:p w14:paraId="3C5E54CE">
      <w:pPr>
        <w:ind w:firstLine="0"/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drawing>
          <wp:inline distT="0" distB="0" distL="114300" distR="114300">
            <wp:extent cx="5799455" cy="1459865"/>
            <wp:effectExtent l="0" t="0" r="6985" b="3175"/>
            <wp:docPr id="3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6D7B">
      <w:pPr>
        <w:ind w:firstLine="0"/>
        <w:jc w:val="center"/>
        <w:rPr>
          <w:rFonts w:hint="default"/>
        </w:rPr>
      </w:pPr>
      <w:r>
        <w:drawing>
          <wp:inline distT="0" distB="0" distL="114300" distR="114300">
            <wp:extent cx="5577840" cy="1398905"/>
            <wp:effectExtent l="0" t="0" r="0" b="3175"/>
            <wp:docPr id="32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882B">
      <w:pPr>
        <w:ind w:firstLine="0"/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4 Ghz </w:t>
      </w:r>
    </w:p>
    <w:p w14:paraId="025622B2">
      <w:pPr>
        <w:ind w:firstLine="0"/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Ширина спектра =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8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0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KHz</w:t>
      </w:r>
    </w:p>
    <w:p w14:paraId="67311A30">
      <w:pPr>
        <w:ind w:firstLine="0"/>
        <w:jc w:val="center"/>
      </w:pPr>
      <w:r>
        <w:drawing>
          <wp:inline distT="0" distB="0" distL="114300" distR="114300">
            <wp:extent cx="5934710" cy="1510030"/>
            <wp:effectExtent l="0" t="0" r="8890" b="13970"/>
            <wp:docPr id="33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74CC">
      <w:pPr>
        <w:ind w:firstLine="0"/>
        <w:jc w:val="center"/>
        <w:rPr>
          <w:rFonts w:hint="default"/>
        </w:rPr>
      </w:pPr>
      <w:r>
        <w:drawing>
          <wp:inline distT="0" distB="0" distL="114300" distR="114300">
            <wp:extent cx="6010275" cy="1500505"/>
            <wp:effectExtent l="0" t="0" r="9525" b="8255"/>
            <wp:docPr id="34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EE65">
      <w:pPr>
        <w:ind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увеличении частоты ширина спектра увеличивается пропорционально. Для переходов "в нуле" используется минимальная частотная манипуляция (MSK)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MSK обеспечивает на 30-50% более узкий спектр при той же скорости передачи</w:t>
      </w:r>
    </w:p>
    <w:p w14:paraId="6369DD0B">
      <w:pPr>
        <w:ind w:firstLine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46954B">
      <w:pPr>
        <w:ind w:firstLine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4F4963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7630118E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16CFD3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024F3D5">
      <w:pPr>
        <w:ind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КВАДРАТУРНАЯ МОДУЛЯЦИЯ</w:t>
      </w:r>
    </w:p>
    <w:p w14:paraId="25D5ABED">
      <w:pPr>
        <w:ind w:firstLine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ru-RU"/>
        </w:rPr>
        <w:t>50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 Khz </w:t>
      </w:r>
    </w:p>
    <w:p w14:paraId="4AEA1A0A">
      <w:pPr>
        <w:ind w:firstLine="0"/>
        <w:jc w:val="center"/>
      </w:pPr>
      <w:r>
        <w:drawing>
          <wp:inline distT="0" distB="0" distL="114300" distR="114300">
            <wp:extent cx="5923280" cy="1430655"/>
            <wp:effectExtent l="0" t="0" r="5080" b="1905"/>
            <wp:docPr id="36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A1D0">
      <w:pPr>
        <w:ind w:firstLine="0"/>
        <w:jc w:val="center"/>
      </w:pPr>
      <w:r>
        <w:drawing>
          <wp:inline distT="0" distB="0" distL="114300" distR="114300">
            <wp:extent cx="5930265" cy="1506855"/>
            <wp:effectExtent l="0" t="0" r="13335" b="1905"/>
            <wp:docPr id="4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8A8A">
      <w:pPr>
        <w:ind w:firstLine="0"/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100 Khz </w:t>
      </w:r>
    </w:p>
    <w:p w14:paraId="09699210">
      <w:pPr>
        <w:ind w:firstLine="0"/>
        <w:jc w:val="center"/>
      </w:pPr>
      <w:r>
        <w:drawing>
          <wp:inline distT="0" distB="0" distL="114300" distR="114300">
            <wp:extent cx="5930265" cy="1459865"/>
            <wp:effectExtent l="0" t="0" r="13335" b="3175"/>
            <wp:docPr id="4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1504315"/>
            <wp:effectExtent l="0" t="0" r="3810" b="4445"/>
            <wp:docPr id="4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071C">
      <w:r>
        <w:br w:type="page"/>
      </w:r>
    </w:p>
    <w:p w14:paraId="65A7160F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yellow"/>
          <w:lang w:val="en-US"/>
        </w:rPr>
        <w:t xml:space="preserve">F= 200 Khz </w:t>
      </w:r>
    </w:p>
    <w:p w14:paraId="2AC6C2AF">
      <w:pPr>
        <w:ind w:firstLine="0"/>
        <w:jc w:val="center"/>
      </w:pPr>
      <w:r>
        <w:drawing>
          <wp:inline distT="0" distB="0" distL="114300" distR="114300">
            <wp:extent cx="5937885" cy="1518285"/>
            <wp:effectExtent l="0" t="0" r="5715" b="5715"/>
            <wp:docPr id="4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409A">
      <w:pPr>
        <w:ind w:firstLine="0"/>
        <w:jc w:val="center"/>
      </w:pPr>
      <w:r>
        <w:drawing>
          <wp:inline distT="0" distB="0" distL="114300" distR="114300">
            <wp:extent cx="5931535" cy="1471295"/>
            <wp:effectExtent l="0" t="0" r="12065" b="6985"/>
            <wp:docPr id="4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63A8">
      <w:pPr>
        <w:ind w:firstLine="0"/>
        <w:jc w:val="center"/>
        <w:rPr>
          <w:rFonts w:hint="default"/>
        </w:rPr>
      </w:pPr>
    </w:p>
    <w:p w14:paraId="6969658A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Вывод: </w:t>
      </w:r>
      <w:r>
        <w:rPr>
          <w:rFonts w:hint="default" w:ascii="Times New Roman" w:hAnsi="Times New Roman" w:cs="Times New Roman"/>
          <w:sz w:val="28"/>
          <w:szCs w:val="28"/>
        </w:rPr>
        <w:t>при увеличении частоты сигнала, ширина спектра увеличивается пропорционально.Также наблюдается улучшение формы спектра - боковые лепестки становятся более выраженными и симметричными относительно несущей частоты.</w:t>
      </w:r>
    </w:p>
    <w:p w14:paraId="619B930B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7FFFCA14">
      <w:pPr>
        <w:ind w:firstLine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4CC8AF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Вывод по лабораторной работе:</w:t>
      </w:r>
      <w:r>
        <w:rPr>
          <w:rFonts w:hint="default" w:ascii="Times New Roman" w:hAnsi="Times New Roman" w:cs="Times New Roman"/>
          <w:sz w:val="28"/>
          <w:szCs w:val="28"/>
        </w:rPr>
        <w:t xml:space="preserve"> В данной лабораторной работе мы изучили особенности различных методов модуляции и виды модулированных сигналов, при разных характеристиках, а также влияние этих характеристик на итоговый результат. Выбор метода модуляции определяется компромиссом между шириной спектра, помехоустойчивостью и сложностью реализации.</w:t>
      </w:r>
    </w:p>
    <w:p w14:paraId="52B7895B">
      <w:pPr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7B9386E">
      <w:pPr>
        <w:rPr>
          <w:rFonts w:hint="default"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783"/>
    <w:rsid w:val="00102783"/>
    <w:rsid w:val="00115B53"/>
    <w:rsid w:val="00253BEF"/>
    <w:rsid w:val="00360871"/>
    <w:rsid w:val="00F04ECD"/>
    <w:rsid w:val="069C6634"/>
    <w:rsid w:val="079F50AE"/>
    <w:rsid w:val="081775CA"/>
    <w:rsid w:val="0D5F715F"/>
    <w:rsid w:val="151C2A33"/>
    <w:rsid w:val="1CF16561"/>
    <w:rsid w:val="1E1F2190"/>
    <w:rsid w:val="219B61B1"/>
    <w:rsid w:val="22CA572C"/>
    <w:rsid w:val="23103AA3"/>
    <w:rsid w:val="30C47C02"/>
    <w:rsid w:val="415D4496"/>
    <w:rsid w:val="489C56DD"/>
    <w:rsid w:val="508E1F8C"/>
    <w:rsid w:val="59D80551"/>
    <w:rsid w:val="696950CE"/>
    <w:rsid w:val="6B14444F"/>
    <w:rsid w:val="718E4931"/>
    <w:rsid w:val="7E0E2EEA"/>
    <w:rsid w:val="7F38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styleId="11">
    <w:name w:val="Strong"/>
    <w:basedOn w:val="9"/>
    <w:qFormat/>
    <w:uiPriority w:val="22"/>
    <w:rPr>
      <w:b/>
      <w:bCs/>
    </w:rPr>
  </w:style>
  <w:style w:type="paragraph" w:styleId="12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Body Text"/>
    <w:basedOn w:val="1"/>
    <w:link w:val="20"/>
    <w:unhideWhenUsed/>
    <w:qFormat/>
    <w:uiPriority w:val="99"/>
    <w:pPr>
      <w:spacing w:after="120" w:line="360" w:lineRule="auto"/>
      <w:ind w:firstLine="709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14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6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Основной текст Знак"/>
    <w:basedOn w:val="9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1">
    <w:name w:val="Текст выноски Знак"/>
    <w:basedOn w:val="9"/>
    <w:link w:val="1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DqNl5UNwwiYpjvTMqcocJ1LK8Q==">CgMxLjAyCGguZ2pkZ3hzOAByITFDUEhLN2w5TkZzaUtid3lha0NvNlI1d0RYWDFJbnlZTQ==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16</Pages>
  <Words>356</Words>
  <Characters>2033</Characters>
  <Lines>16</Lines>
  <Paragraphs>4</Paragraphs>
  <TotalTime>15</TotalTime>
  <ScaleCrop>false</ScaleCrop>
  <LinksUpToDate>false</LinksUpToDate>
  <CharactersWithSpaces>2385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2024-04-06T09:03:00Z</dcterms:created>
  <dc:creator>Andrew Saydashev</dc:creator>
  <cp:lastModifiedBy>Илья</cp:lastModifiedBy>
  <dcterms:modified xsi:type="dcterms:W3CDTF">2025-10-27T22:50:39Z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C6432895A5974CD1ACE386FBEE334897_13</vt:lpwstr>
  </property>
</Properties>
</file>