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  
  <Relationship Id="rId3" Type="http://schemas.openxmlformats.org/officeDocument/2006/relationships/extended-properties" Target="docProps/app.xml"/>
  
  
  <Relationship Id="rId4" Type="http://schemas.openxmlformats.org/officeDocument/2006/relationships/custom-properties" Target="docProps/custom.xml"/>
  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40"/>
          <w:szCs w:val="40"/>
        </w:rPr>
        <w:t xml:space="preserve">BUSINESS REQUIREMENTS DOCUMENT</w:t>
      </w:r>
    </w:p>
    <w:p>
      <w:pPr>
        <w:spacing w:after="80" w:before="0"/>
        <w:jc w:val="center"/>
      </w:pPr>
      <w:r>
        <w:rPr>
          <w:b/>
          <w:bCs/>
          <w:color w:val="E07B39"/>
          <w:sz w:val="32"/>
          <w:szCs w:val="32"/>
        </w:rPr>
        <w:t xml:space="preserve">Bank Loan Intelligence Dashboard</w:t>
      </w:r>
    </w:p>
    <w:p>
      <w:pPr>
        <w:spacing w:after="300" w:before="0"/>
        <w:jc w:val="center"/>
      </w:pPr>
      <w:r>
        <w:rPr>
          <w:color w:val="555555"/>
          <w:sz w:val="22"/>
          <w:szCs w:val="22"/>
        </w:rPr>
        <w:t xml:space="preserve">Loan Portfolio Risk Analytics &amp; Executive Reporting | Excel BI Project</w:t>
      </w: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Document Version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Bank Loan Intelligence Dashboard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Author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Manpreet Singh (Mappy)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Final — Delivered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Tooling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Microsoft Excel 365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Dataset Size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38,600 loan records × 24 columns</w:t>
            </w:r>
          </w:p>
        </w:tc>
      </w:tr>
    </w:tbl>
    <w:p>
      <w:pPr>
        <w:spacing w:before="240"/>
      </w:pP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1. Executive Summary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This document defines the business requirements for the Bank Loan Intelligence Dashboard — an Excel-based portfolio analytics solution built to provide real-time visibility into loan portfolio health, risk segmentation, and month-over-month performance trends.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The dashboard transforms a 38,600-row raw loan dataset into a fully interactive, stakeholder-ready reporting system featuring two distinct views: a Summary Dashboard (KPI-focused) and an Overview Dashboard (trend and geographic analysis).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The primary business objective is to replace manual, query-driven reporting with a structured, filterable interface that enables credit risk officers, portfolio managers, and executive stakeholders to monitor loan performance without SQL or analytical tooling dependencies.</w:t>
      </w: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2. Business Context &amp; Problem Background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2.1 Industry Context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Lending institutions manage portfolios spanning thousands of loans across multiple risk grades, purposes, geographies, and employment profiles. Without a structured reporting layer, identifying portfolio stress points — such as rising Charged Off rates in high-risk grade segments — requires significant manual effort and delays in executive decision-making.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In the Canadian banking context, portfolio reporting must support the monitoring obligations outlined under OSFI Guideline E-23 (Residential Mortgage Underwriting Practices and Procedures) and align with the Basel III framework for credit risk capital requirements.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2.2 Current State (As-Is)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Loan data exists in flat-file format with no reporting layer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KPI calculations (MTD, MoM, DTI averages) are performed manually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No unified view of Good Loan vs Bad Loan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Stakeholder requests for segment-level analysis require ad-hoc query turnaround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No geographic visualization of loan application distribution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2.3 Desired State (To-Be)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Automated KPI calculation for Total Applications, Funded Amount, Amount Received, AVG Interest Rate, AVG DTI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Interactive dashboards with Grade (A–G) and Purpose (13 categories) filter slicers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Clear Good Loan vs Bad Loan classification with application count, funded, and received breakdowns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Month-over-month and month-to-date tracking without manual recalculation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Geographic heat map of loan application volume by US state</w:t>
      </w: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3. Stakeholder Registry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in Dashboard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Engagement Level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Credit Risk Officer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Risk Oversight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Bad Loan rates, DTI trends, Charged Off exposure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Primary User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Portfolio Manager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Portfolio P&amp;L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Funded vs Received spread, Grade performance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Primary User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Product / Marketing Team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Growth Strategy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High-performing loan purposes (Wedding, Wedding etc.)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Secondary User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Executive / Board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Single-pane KPI summary, MoM trends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Summary View Only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Data Analyst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Reporting &amp; Maintenance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Design Sheet architecture, data pipeline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Technical Owner</w:t>
            </w:r>
          </w:p>
        </w:tc>
      </w:tr>
    </w:tbl>
    <w:p>
      <w:pPr>
        <w:spacing w:before="240"/>
      </w:pP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4. Functional Requirements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4.1 Summary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 / KPI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FR-S01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Total KPI Tiles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Total Loan Applications, Total Funded Amount, Total Amount Received, AVG Interest Rate, AVG DTI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Each tile displays Overall, MTD, and MoM values simultaneously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FR-S02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 Loan Section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 Loan % (donut), Total Applications, Funded Amount, Amount Received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Donut reflects 86.18% baseline; updates on slicer selection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FR-S03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Bad Loan Section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Bad Loan % (donut), Total Applications, Funded Amount, Amount Received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Donut reflects 13.82% baseline; updates on slicer selection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FR-S04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Loan Status Breakdown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Fully Paid / Charged Off / Current across all 5 KPIs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Horizontal bar chart per KPI column, labelled with values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FR-S05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Grade Slicer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Filter by loan grade A, B, C, D, E, F, G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All visuals on Summary Dashboard respond to Grade selection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FR-S06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Purpose Slicer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Filter by 13 loan purposes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All visuals on Summary Dashboard respond to Purpose selection</w:t>
            </w:r>
          </w:p>
        </w:tc>
      </w:tr>
    </w:tbl>
    <w:p>
      <w:pPr>
        <w:spacing w:before="180"/>
      </w:pP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4.2 Overview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FR-O01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Monthly Applications Trend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Line + column combo chart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Displays Jan–Dec with data labels; responds to slicers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FR-O02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State Choropleth Map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Excel Bing Maps integration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Colour intensity reflects application volume by state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FR-O03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Loan Term Breakdown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Donut chart (36 vs 60 months)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Displays counts for both term lengths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FR-O04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Employment Length Distribution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Horizontal bar chart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All emp_length buckets displayed in descending order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FR-O05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Loan Purpose Breakdown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Horizontal bar chart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All 13 purpose categories ranked by application count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FR-O06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Home Ownership Treemap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Treemap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RENT / MORTGAGE / OWN displayed with counts</w:t>
            </w:r>
          </w:p>
        </w:tc>
      </w:tr>
    </w:tbl>
    <w:p>
      <w:pPr>
        <w:spacing w:before="180"/>
      </w:pP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4.3 Good vs Bad Loan Classification Logic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The derived 'Good v Bad Loan' column shall be computed using the following business rule: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Good Loan: loan_status = 'Fully Paid' OR 'Current'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Bad Loan: loan_status = 'Charged Off'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This classification drives all Good Loan and Bad Loan KPI tiles and donut charts on the Summary Dashboard.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4.4 MoM Calculation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Month-over-Month (MoM) values shall be calculated using the formula:</w:t>
      </w:r>
    </w:p>
    <w:p>
      <w:pPr>
        <w:spacing w:after="120" w:before="120"/>
        <w:jc w:val="center"/>
      </w:pPr>
      <w:r>
        <w:rPr>
          <w:b/>
          <w:bCs/>
          <w:color w:val="E07B39"/>
          <w:sz w:val="22"/>
          <w:szCs w:val="22"/>
        </w:rPr>
        <w:t xml:space="preserve">MoM = (MTD Value − PMTD Value) / PMTD Value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Where MTD = Month-to-Date (current month) and PMTD = Prior Month-to-Date (previous month). The reference month for this project is December (MTD) vs November (PMTD).</w:t>
      </w: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5.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Dashboard must load and respond to slicer changes within 3 seconds on a standard business laptop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Compatibility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Must function in Microsoft Excel 2016 or later; full functionality in Excel 365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Usability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Non-technical stakeholders must be able to apply Grade and Purpose filters without training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Design Sheet architecture must allow new data to be appended to the Data tab with pivot refresh only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Visual Design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Consistent dark navy (#1F3864) and orange (#E07B39) colour palette across all dashboard elements</w:t>
            </w:r>
          </w:p>
        </w:tc>
      </w:tr>
      <w:tr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Data Privacy</w:t>
            </w:r>
          </w:p>
        </w:tc>
        <w:tc>
          <w:tcPr>
            <w:tcW w:type="pct" w:w="50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No real borrower PII to be included in any shared or published version of the workbook</w:t>
            </w:r>
          </w:p>
        </w:tc>
      </w:tr>
    </w:tbl>
    <w:p>
      <w:pPr>
        <w:spacing w:before="240"/>
      </w:pP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6. KPI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Column(s)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Total Loan Applications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Count of unique loans in the dataset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Total Funded Amount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Sum of all disbursed loan amounts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loan_amount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SUM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Total Amount Received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Sum of all payments received to date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total_payment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SUM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AVG Interest Rate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Average annualised interest rate across all loans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int_rate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AVG DTI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Average Debt-to-Income ratio across all loans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dti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 Loan %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 Loans / Total Loans × 100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 v Bad Loan (derived)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COUNT / TOTAL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Bad Loan %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Bad Loans / Total Loans × 100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 v Bad Loan (derived)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COUNT / TOTAL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MTD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Current month aggregate (December)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issue_date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FILTERED SUM/AVG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PMTD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Prior month aggregate (November)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issue_date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FILTERED SUM/AVG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MoM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(MTD − PMTD) / PMTD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Derived from MTD &amp; PMTD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CALCULATED FIELD</w:t>
            </w:r>
          </w:p>
        </w:tc>
      </w:tr>
    </w:tbl>
    <w:p>
      <w:pPr>
        <w:spacing w:before="240"/>
      </w:pP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7. Assumptions &amp; Constraints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7.1 Assumptions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The dataset represents a single calendar year of loan origination 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'issue_date' is the authoritative date for MTD/PMTD calculations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Loan grades A through G represent ordinal credit risk bands (A = lowest risk, G = highest risk)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The dataset is static for this version; no live database connection is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Bing Maps integration is available in the deployment environment (Excel 365)</w:t>
      </w:r>
    </w:p>
    <w:p>
      <w:pPr>
        <w:pStyle w:val="Heading2"/>
        <w:spacing w:after="80" w:before="240"/>
        <w:rPr>
          <w:b/>
          <w:bCs/>
          <w:color w:val="1F3864"/>
          <w:sz w:val="24"/>
          <w:szCs w:val="24"/>
        </w:rPr>
      </w:pPr>
      <w:r>
        <w:t xml:space="preserve">7.2 Constraints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Solution must be delivered entirely in Microsoft Excel — no Power BI, Tableau, or Python runtime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Raw data file size must remain under 50MB to support email distribution if needed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No macros (VBA) are required for v1.0; all interactivity is slicer-driven</w:t>
      </w: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8.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33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pct" w:w="33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KPI Accuracy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All 5 KPI tiles match raw data aggregation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100% accuracy on validation checks</w:t>
            </w:r>
          </w:p>
        </w:tc>
      </w:tr>
      <w:tr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Good/Bad Classification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Classification matches loan_status grouping rules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86.18% Good / 13.82% Bad (baseline)</w:t>
            </w:r>
          </w:p>
        </w:tc>
      </w:tr>
      <w:tr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Slicer Responsiveness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All visuals update on Grade/Purpose filter change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&lt; 3 seconds response time</w:t>
            </w:r>
          </w:p>
        </w:tc>
      </w:tr>
      <w:tr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MoM Calculation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MoM values match manual (MTD−PMTD)/PMTD formula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Verified against Nov/Dec pivot values</w:t>
            </w:r>
          </w:p>
        </w:tc>
      </w:tr>
      <w:tr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Stakeholder Readability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Non-technical user can read dashboard without training</w:t>
            </w:r>
          </w:p>
        </w:tc>
        <w:tc>
          <w:tcPr>
            <w:tcW w:type="pct" w:w="33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Validated in walkthrough review</w:t>
            </w:r>
          </w:p>
        </w:tc>
      </w:tr>
    </w:tbl>
    <w:p>
      <w:pPr>
        <w:spacing w:before="240"/>
      </w:pP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9. Out of Scope (v1.0)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Predictive modelling or machine learning (planned for v2.0)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Automated data refresh via Power Query or VBA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OSFI E-23 compliance documentation (noted as a future enhancement)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Multi-year time series comparison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C"/>
          <w:sz w:val="22"/>
          <w:szCs w:val="22"/>
        </w:rPr>
        <w:t xml:space="preserve">Real-time API connection to a lending platform</w:t>
      </w:r>
    </w:p>
    <w:p>
      <w:pPr>
        <w:pBdr>
          <w:bottom w:val="single" w:color="E07B39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F3864"/>
          <w:sz w:val="28"/>
          <w:szCs w:val="28"/>
        </w:rPr>
      </w:pPr>
      <w:r>
        <w:t xml:space="preserve">10. Sign-Off</w:t>
      </w:r>
    </w:p>
    <w:p>
      <w:pPr>
        <w:spacing w:after="60" w:before="60"/>
      </w:pPr>
      <w:r>
        <w:rPr>
          <w:color w:val="2C2C2C"/>
          <w:sz w:val="22"/>
          <w:szCs w:val="22"/>
        </w:rPr>
        <w:t xml:space="preserve">This document represents the full set of business requirements for the Bank Loan Intelligence Dashboard v1.0. All requirements listed above have been implemented and validated against the delivered Excel workbook.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Author / Analyst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Manpreet Singh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2024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✓ Delivered</w:t>
            </w:r>
          </w:p>
        </w:tc>
      </w:tr>
      <w:tr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Reviewer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val="clear" w:color="auto" w:fill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60"/>
      </w:pP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| Portfolio Analytics Project | Manpreet Singh |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Bank Loan Intelligence Dashboard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
  
  <Relationship Id="rId1" Type="http://schemas.openxmlformats.org/officeDocument/2006/relationships/styles" Target="styles.xml"/>
  
  
  <Relationship Id="rId2" Type="http://schemas.openxmlformats.org/officeDocument/2006/relationships/numbering" Target="numbering.xml"/>
  
  
  <Relationship Id="rId3" Type="http://schemas.openxmlformats.org/officeDocument/2006/relationships/footnotes" Target="footnotes.xml"/>
  
  
  <Relationship Id="rId4" Type="http://schemas.openxmlformats.org/officeDocument/2006/relationships/endnotes" Target="endnotes.xml"/>
  
  
  <Relationship Id="rId5" Type="http://schemas.openxmlformats.org/officeDocument/2006/relationships/settings" Target="settings.xml"/>
  
  
  <Relationship Id="rId6" Type="http://schemas.openxmlformats.org/officeDocument/2006/relationships/comments" Target="comments.xml"/>
  
  
  <Relationship Id="rId7" Type="http://schemas.openxmlformats.org/officeDocument/2006/relationships/header" Target="header1.xml"/>
  
  
  <Relationship Id="rId8" Type="http://schemas.openxmlformats.org/officeDocument/2006/relationships/footer" Target="footer1.xml"/>
  
  
  <Relationship Id="rId9" Type="http://schemas.openxmlformats.org/officeDocument/2006/relationships/fontTable" Target="fontTable.xml"/>
  
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2026-03-29T21:41:46.438Z</dcterms:created>
  <dcterms:modified xsi:type="dcterms:W3CDTF">2026-03-29T21:41:46.439Z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