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0"/>
          <w:szCs w:val="40"/>
        </w:rPr>
        <w:t xml:space="preserve">PROBLEM STATEMENT</w:t>
      </w:r>
    </w:p>
    <w:p>
      <w:pPr>
        <w:spacing w:after="80" w:before="0"/>
        <w:jc w:val="center"/>
      </w:pPr>
      <w:r>
        <w:rPr>
          <w:b/>
          <w:bCs/>
          <w:color w:val="E07B39"/>
          <w:sz w:val="32"/>
          <w:szCs w:val="32"/>
        </w:rPr>
        <w:t xml:space="preserve">Bank Loan Intelligence Dashboard</w:t>
      </w:r>
    </w:p>
    <w:p>
      <w:pPr>
        <w:spacing w:after="300" w:before="0"/>
        <w:jc w:val="center"/>
      </w:pPr>
      <w:r>
        <w:rPr>
          <w:color w:val="555555"/>
          <w:sz w:val="22"/>
          <w:szCs w:val="22"/>
        </w:rPr>
        <w:t xml:space="preserve">Loan Portfolio Risk Analytics | Excel Business Intelligence Project</w:t>
      </w:r>
    </w:p>
    <w:p>
      <w:pPr>
        <w:pBdr>
          <w:bottom w:val="single" w:color="E07B39" w:sz="6"/>
        </w:pBdr>
        <w:spacing w:after="12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Field</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Detail</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Field</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Detail</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Version</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v1.0</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Author</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Manpreet Singh</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Date</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2024</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Domain</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Banking &amp; Financial Services</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Project Type</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Portfolio / BI Analytics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Status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Delivered</w:t>
            </w:r>
          </w:p>
        </w:tc>
      </w:tr>
    </w:tbl>
    <w:p>
      <w:pPr>
        <w:spacing w:before="240"/>
      </w:pPr>
    </w:p>
    <w:p>
      <w:pPr>
        <w:pBdr>
          <w:bottom w:val="single" w:color="E07B39" w:sz="6"/>
        </w:pBdr>
        <w:spacing w:after="120" w:before="120"/>
      </w:pPr>
      <w:r>
        <w:t xml:space="preserve"/>
      </w:r>
    </w:p>
    <w:p>
      <w:pPr>
        <w:pStyle w:val="Heading1"/>
        <w:spacing w:after="120" w:before="360"/>
        <w:rPr>
          <w:b/>
          <w:bCs/>
          <w:color w:val="1F3864"/>
          <w:sz w:val="28"/>
          <w:szCs w:val="28"/>
        </w:rPr>
      </w:pPr>
      <w:r>
        <w:t xml:space="preserve">1. Problem Statement</w:t>
      </w:r>
    </w:p>
    <w:p>
      <w:pPr>
        <w:pBdr>
          <w:left w:val="thick" w:color="E07B39" w:sz="12"/>
        </w:pBdr>
        <w:spacing w:after="120" w:before="120"/>
        <w:ind w:left="360"/>
      </w:pPr>
      <w:r>
        <w:rPr>
          <w:b w:val="false"/>
          <w:bCs w:val="false"/>
          <w:color w:val="2C2C2C"/>
          <w:sz w:val="24"/>
          <w:szCs w:val="24"/>
        </w:rPr>
        <w:t xml:space="preserve">A lending institution holds a portfolio of 38,600 loan records spanning multiple risk grades, borrower purposes, employment profiles, and US geographies. Despite the availability of this data, there is no structured reporting layer that enables stakeholders to monitor portfolio health, identify risk concentration, or track performance trends without manual querying effort.</w:t>
      </w:r>
    </w:p>
    <w:p>
      <w:pPr>
        <w:spacing w:after="60" w:before="60"/>
      </w:pPr>
      <w:r>
        <w:rPr>
          <w:color w:val="2C2C2C"/>
          <w:sz w:val="22"/>
          <w:szCs w:val="22"/>
        </w:rPr>
        <w:t xml:space="preserve">Specifically, the absence of a reporting framework creates three critical gaps:</w:t>
      </w:r>
    </w:p>
    <w:p>
      <w:pPr>
        <w:pStyle w:val="ListParagraph"/>
        <w:numPr>
          <w:ilvl w:val="0"/>
          <w:numId w:val="1"/>
        </w:numPr>
        <w:spacing w:after="40" w:before="40"/>
      </w:pPr>
      <w:r>
        <w:rPr>
          <w:color w:val="2C2C2C"/>
          <w:sz w:val="22"/>
          <w:szCs w:val="22"/>
        </w:rPr>
        <w:t xml:space="preserve">Risk Invisibility: There is no real-time visibility into the proportion of loans classified as 'Charged Off' (Bad Loans) versus 'Fully Paid' or 'Current' (Good Loans). Without this split, early warning signals for portfolio deterioration go undetected.</w:t>
      </w:r>
    </w:p>
    <w:p>
      <w:pPr>
        <w:pStyle w:val="ListParagraph"/>
        <w:numPr>
          <w:ilvl w:val="0"/>
          <w:numId w:val="1"/>
        </w:numPr>
        <w:spacing w:after="40" w:before="40"/>
      </w:pPr>
      <w:r>
        <w:rPr>
          <w:color w:val="2C2C2C"/>
          <w:sz w:val="22"/>
          <w:szCs w:val="22"/>
        </w:rPr>
        <w:t xml:space="preserve">Performance Lag: Month-to-date and month-over-month KPI comparisons — essential for credit portfolio reviews — are unavailable without custom SQL or spreadsheet manipulation on every reporting cycle.</w:t>
      </w:r>
    </w:p>
    <w:p>
      <w:pPr>
        <w:pStyle w:val="ListParagraph"/>
        <w:numPr>
          <w:ilvl w:val="0"/>
          <w:numId w:val="1"/>
        </w:numPr>
        <w:spacing w:after="40" w:before="40"/>
      </w:pPr>
      <w:r>
        <w:rPr>
          <w:color w:val="2C2C2C"/>
          <w:sz w:val="22"/>
          <w:szCs w:val="22"/>
        </w:rPr>
        <w:t xml:space="preserve">Segment Blindness: Risk and opportunity patterns hidden within loan grade (A–G), borrower purpose (13 categories), and geography segments are inaccessible to non-technical stakeholders, creating bottlenecks in risk governance and product strategy discussions.</w:t>
      </w:r>
    </w:p>
    <w:p>
      <w:pPr>
        <w:pBdr>
          <w:bottom w:val="single" w:color="E07B39" w:sz="6"/>
        </w:pBdr>
        <w:spacing w:after="120" w:before="120"/>
      </w:pPr>
      <w:r>
        <w:t xml:space="preserve"/>
      </w:r>
    </w:p>
    <w:p>
      <w:pPr>
        <w:pStyle w:val="Heading1"/>
        <w:spacing w:after="120" w:before="360"/>
        <w:rPr>
          <w:b/>
          <w:bCs/>
          <w:color w:val="1F3864"/>
          <w:sz w:val="28"/>
          <w:szCs w:val="28"/>
        </w:rPr>
      </w:pPr>
      <w:r>
        <w:t xml:space="preserve">2. Background &amp; Context</w:t>
      </w:r>
    </w:p>
    <w:p>
      <w:pPr>
        <w:pStyle w:val="Heading2"/>
        <w:spacing w:after="80" w:before="240"/>
        <w:rPr>
          <w:b/>
          <w:bCs/>
          <w:color w:val="1F3864"/>
          <w:sz w:val="24"/>
          <w:szCs w:val="24"/>
        </w:rPr>
      </w:pPr>
      <w:r>
        <w:t xml:space="preserve">2.1 Business Domain</w:t>
      </w:r>
    </w:p>
    <w:p>
      <w:pPr>
        <w:spacing w:after="60" w:before="60"/>
      </w:pPr>
      <w:r>
        <w:rPr>
          <w:color w:val="2C2C2C"/>
          <w:sz w:val="22"/>
          <w:szCs w:val="22"/>
        </w:rPr>
        <w:t xml:space="preserve">Consumer lending portfolios carry inherent credit risk — the possibility that borrowers will be unable to repay their obligations. Effective portfolio management requires continuous monitoring of key risk indicators: default rates, interest rate adequacy, debt burden (DTI), and geographic concentration.</w:t>
      </w:r>
    </w:p>
    <w:p>
      <w:pPr>
        <w:spacing w:after="60" w:before="60"/>
      </w:pPr>
      <w:r>
        <w:rPr>
          <w:color w:val="2C2C2C"/>
          <w:sz w:val="22"/>
          <w:szCs w:val="22"/>
        </w:rPr>
        <w:t xml:space="preserve">In the Canadian banking regulatory context, institutions are expected to maintain robust portfolio monitoring frameworks aligned with OSFI Guideline E-23 and the Basel III credit risk capital framework. This project reflects those monitoring principles in an accessible, Excel-based format.</w:t>
      </w:r>
    </w:p>
    <w:p>
      <w:pPr>
        <w:pStyle w:val="Heading2"/>
        <w:spacing w:after="80" w:before="240"/>
        <w:rPr>
          <w:b/>
          <w:bCs/>
          <w:color w:val="1F3864"/>
          <w:sz w:val="24"/>
          <w:szCs w:val="24"/>
        </w:rPr>
      </w:pPr>
      <w:r>
        <w:t xml:space="preserve">2.2 Dataset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Attribute</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Detail</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Total Records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38,600 loan applications</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Columns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24 fields including borrower profile, loan terms, and repayment history</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Time Period</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One full calendar year (Jan–Dec)</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Geography</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United States (all states)</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Risk Grades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A through G (7 levels)</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Loan Purposes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13 categories (car, credit card, debt consolidation, educational, home improvement, house, major purchase, medical, moving, other, renewable energy, small business, vacation, wedding)</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Loan Statuses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Fully Paid, Charged Off, Current</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Key Derived Field</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Good v Bad Loan (derived from loan_status)</w:t>
            </w:r>
          </w:p>
        </w:tc>
      </w:tr>
    </w:tbl>
    <w:p>
      <w:pPr>
        <w:spacing w:before="240"/>
      </w:pPr>
    </w:p>
    <w:p>
      <w:pPr>
        <w:pBdr>
          <w:bottom w:val="single" w:color="E07B39" w:sz="6"/>
        </w:pBdr>
        <w:spacing w:after="120" w:before="120"/>
      </w:pPr>
      <w:r>
        <w:t xml:space="preserve"/>
      </w:r>
    </w:p>
    <w:p>
      <w:pPr>
        <w:pStyle w:val="Heading1"/>
        <w:spacing w:after="120" w:before="360"/>
        <w:rPr>
          <w:b/>
          <w:bCs/>
          <w:color w:val="1F3864"/>
          <w:sz w:val="28"/>
          <w:szCs w:val="28"/>
        </w:rPr>
      </w:pPr>
      <w:r>
        <w:t xml:space="preserve">3. Project Objectives</w:t>
      </w:r>
    </w:p>
    <w:p>
      <w:pPr>
        <w:spacing w:after="60" w:before="60"/>
      </w:pPr>
      <w:r>
        <w:rPr>
          <w:color w:val="2C2C2C"/>
          <w:sz w:val="22"/>
          <w:szCs w:val="22"/>
        </w:rPr>
        <w:t xml:space="preserve">This project was undertaken to achieve the following measurable objectives:</w:t>
      </w:r>
    </w:p>
    <w:p>
      <w:pPr>
        <w:spacing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Objective</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Description</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Success Metric</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OBJ-01: KPI Automation</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Replace manual KPI calculation with a pivot-driven, auto-refreshing reporting layer for all 5 core portfolio metrics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All KPIs match raw data within 0.01% tolerance</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OBJ-02: Good/Bad Classification</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Implement a standardised Good Loan vs Bad Loan classification rule across the entire portfolio</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86.18% Good / 13.82% Bad baseline validated</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OBJ-03: MoM Tracking</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Build MTD and MoM calculations for all KPIs to support rolling performance review cycles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MoM values match (MTD−PMTD)/PMTD formula</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OBJ-04: Segment Analysis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Enable interactive filtering by Grade and Purpose so stakeholders can isolate any segment in under 3 seconds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&lt; 3 second response to slicer changes</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OBJ-05: Geographic View</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Provide a state-level choropleth map to surface geographic concentration risk</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All 50 states rendered with correct application counts</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OBJ-06: Portfolio Pricing Validation</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Confirm that high-risk grade interest rate premiums adequately offset elevated default rates</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Grade E: 21.40% rate vs 31.31% default validated</w:t>
            </w:r>
          </w:p>
        </w:tc>
      </w:tr>
    </w:tbl>
    <w:p>
      <w:pPr>
        <w:spacing w:before="240"/>
      </w:pPr>
    </w:p>
    <w:p>
      <w:pPr>
        <w:pBdr>
          <w:bottom w:val="single" w:color="E07B39" w:sz="6"/>
        </w:pBdr>
        <w:spacing w:after="120" w:before="120"/>
      </w:pPr>
      <w:r>
        <w:t xml:space="preserve"/>
      </w:r>
    </w:p>
    <w:p>
      <w:pPr>
        <w:pStyle w:val="Heading1"/>
        <w:spacing w:after="120" w:before="360"/>
        <w:rPr>
          <w:b/>
          <w:bCs/>
          <w:color w:val="1F3864"/>
          <w:sz w:val="28"/>
          <w:szCs w:val="28"/>
        </w:rPr>
      </w:pPr>
      <w:r>
        <w:t xml:space="preserve">4. Analytical Questions Answered</w:t>
      </w:r>
    </w:p>
    <w:p>
      <w:pPr>
        <w:spacing w:after="60" w:before="60"/>
      </w:pPr>
      <w:r>
        <w:rPr>
          <w:color w:val="2C2C2C"/>
          <w:sz w:val="22"/>
          <w:szCs w:val="22"/>
        </w:rPr>
        <w:t xml:space="preserve">The dashboard was designed to answer the following business-critical questions without ad-hoc querying:</w:t>
      </w:r>
    </w:p>
    <w:p>
      <w:pPr>
        <w:pStyle w:val="ListParagraph"/>
        <w:numPr>
          <w:ilvl w:val="0"/>
          <w:numId w:val="1"/>
        </w:numPr>
        <w:spacing w:after="40" w:before="40"/>
      </w:pPr>
      <w:r>
        <w:rPr>
          <w:color w:val="2C2C2C"/>
          <w:sz w:val="22"/>
          <w:szCs w:val="22"/>
        </w:rPr>
        <w:t xml:space="preserve">What percentage of our portfolio is at risk of loss right now? (13.82% Bad Loan rate, $65.5M funded exposure)</w:t>
      </w:r>
    </w:p>
    <w:p>
      <w:pPr>
        <w:pStyle w:val="ListParagraph"/>
        <w:numPr>
          <w:ilvl w:val="0"/>
          <w:numId w:val="1"/>
        </w:numPr>
        <w:spacing w:after="40" w:before="40"/>
      </w:pPr>
      <w:r>
        <w:rPr>
          <w:color w:val="2C2C2C"/>
          <w:sz w:val="22"/>
          <w:szCs w:val="22"/>
        </w:rPr>
        <w:t xml:space="preserve">Is our interest rate pricing model adequate for Grade E borrowers? (21.40% rate vs 31.31% default rate — validated)</w:t>
      </w:r>
    </w:p>
    <w:p>
      <w:pPr>
        <w:pStyle w:val="ListParagraph"/>
        <w:numPr>
          <w:ilvl w:val="0"/>
          <w:numId w:val="1"/>
        </w:numPr>
        <w:spacing w:after="40" w:before="40"/>
      </w:pPr>
      <w:r>
        <w:rPr>
          <w:color w:val="2C2C2C"/>
          <w:sz w:val="22"/>
          <w:szCs w:val="22"/>
        </w:rPr>
        <w:t xml:space="preserve">Which loan purposes carry the highest default risk? (Educational: 15.87%, Medical: 14.99%, vs Wedding: 9.27%)</w:t>
      </w:r>
    </w:p>
    <w:p>
      <w:pPr>
        <w:pStyle w:val="ListParagraph"/>
        <w:numPr>
          <w:ilvl w:val="0"/>
          <w:numId w:val="1"/>
        </w:numPr>
        <w:spacing w:after="40" w:before="40"/>
      </w:pPr>
      <w:r>
        <w:rPr>
          <w:color w:val="2C2C2C"/>
          <w:sz w:val="22"/>
          <w:szCs w:val="22"/>
        </w:rPr>
        <w:t xml:space="preserve">Which US states have the highest loan application concentration? (California: 6,894, New York: 3,701, Texas: 2,664)</w:t>
      </w:r>
    </w:p>
    <w:p>
      <w:pPr>
        <w:pStyle w:val="ListParagraph"/>
        <w:numPr>
          <w:ilvl w:val="0"/>
          <w:numId w:val="1"/>
        </w:numPr>
        <w:spacing w:after="40" w:before="40"/>
      </w:pPr>
      <w:r>
        <w:rPr>
          <w:color w:val="2C2C2C"/>
          <w:sz w:val="22"/>
          <w:szCs w:val="22"/>
        </w:rPr>
        <w:t xml:space="preserve">What is the MoM growth trajectory? (Applications grew from 2.3K in Jan to 4.3K in Dec — +86.9% annual growth)</w:t>
      </w:r>
    </w:p>
    <w:p>
      <w:pPr>
        <w:pStyle w:val="ListParagraph"/>
        <w:numPr>
          <w:ilvl w:val="0"/>
          <w:numId w:val="1"/>
        </w:numPr>
        <w:spacing w:after="40" w:before="40"/>
      </w:pPr>
      <w:r>
        <w:rPr>
          <w:color w:val="2C2C2C"/>
          <w:sz w:val="22"/>
          <w:szCs w:val="22"/>
        </w:rPr>
        <w:t xml:space="preserve">Do borrowers with longer employment histories default less? (10+ year tenure borrowers: 8.9K applications — largest segment)</w:t>
      </w:r>
    </w:p>
    <w:p>
      <w:pPr>
        <w:pStyle w:val="ListParagraph"/>
        <w:numPr>
          <w:ilvl w:val="0"/>
          <w:numId w:val="1"/>
        </w:numPr>
        <w:spacing w:after="40" w:before="40"/>
      </w:pPr>
      <w:r>
        <w:rPr>
          <w:color w:val="2C2C2C"/>
          <w:sz w:val="22"/>
          <w:szCs w:val="22"/>
        </w:rPr>
        <w:t xml:space="preserve">Is 36-month or 60-month the dominant loan term? (36 months: 28.2K vs 60 months: 10.3K — 73% prefer shorter terms)</w:t>
      </w:r>
    </w:p>
    <w:p>
      <w:pPr>
        <w:pStyle w:val="ListParagraph"/>
        <w:numPr>
          <w:ilvl w:val="0"/>
          <w:numId w:val="1"/>
        </w:numPr>
        <w:spacing w:after="40" w:before="40"/>
      </w:pPr>
      <w:r>
        <w:rPr>
          <w:color w:val="2C2C2C"/>
          <w:sz w:val="22"/>
          <w:szCs w:val="22"/>
        </w:rPr>
        <w:t xml:space="preserve">What is the homeownership breakdown of the portfolio? (RENT: 18,439 | MORTGAGE: 17,198 | OWN: 2,838)</w:t>
      </w:r>
    </w:p>
    <w:p>
      <w:pPr>
        <w:pBdr>
          <w:bottom w:val="single" w:color="E07B39" w:sz="6"/>
        </w:pBdr>
        <w:spacing w:after="120" w:before="120"/>
      </w:pPr>
      <w:r>
        <w:t xml:space="preserve"/>
      </w:r>
    </w:p>
    <w:p>
      <w:pPr>
        <w:pStyle w:val="Heading1"/>
        <w:spacing w:after="120" w:before="360"/>
        <w:rPr>
          <w:b/>
          <w:bCs/>
          <w:color w:val="1F3864"/>
          <w:sz w:val="28"/>
          <w:szCs w:val="28"/>
        </w:rPr>
      </w:pPr>
      <w:r>
        <w:t xml:space="preserve">5. Key Risk Findings</w:t>
      </w:r>
    </w:p>
    <w:p>
      <w:pPr>
        <w:pStyle w:val="Heading2"/>
        <w:spacing w:after="80" w:before="240"/>
        <w:rPr>
          <w:b/>
          <w:bCs/>
          <w:color w:val="1F3864"/>
          <w:sz w:val="24"/>
          <w:szCs w:val="24"/>
        </w:rPr>
      </w:pPr>
      <w:r>
        <w:t xml:space="preserve">5.1 Grade-Level Risk Profile</w:t>
      </w:r>
    </w:p>
    <w:p>
      <w:pPr>
        <w:spacing w:after="60" w:before="60"/>
      </w:pPr>
      <w:r>
        <w:rPr>
          <w:color w:val="2C2C2C"/>
          <w:sz w:val="22"/>
          <w:szCs w:val="22"/>
        </w:rPr>
        <w:t xml:space="preserve">The most significant finding from the portfolio analysis is the dramatic risk divergence across loan 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Grade</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Applications</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Good Loan %</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Bad Loan %</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Avg Interest Rate</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Risk Assessment</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B</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11.7K</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88.50%</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11.50%</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11.03%</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Low Risk — Safe Harbour</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E</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2.8K</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68.69%</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31.31%</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21.40%</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High Risk — Pricing Validated</w:t>
            </w:r>
          </w:p>
        </w:tc>
      </w:tr>
    </w:tbl>
    <w:p>
      <w:pPr>
        <w:spacing w:before="120"/>
      </w:pPr>
    </w:p>
    <w:p>
      <w:pPr>
        <w:spacing w:after="60" w:before="60"/>
      </w:pPr>
      <w:r>
        <w:rPr>
          <w:color w:val="2C2C2C"/>
          <w:sz w:val="22"/>
          <w:szCs w:val="22"/>
        </w:rPr>
        <w:t xml:space="preserve">The Grade E findings are critical: the 31.31% default rate is nearly 3x the portfolio average. However, the 21.40% average interest rate — approximately 10 percentage points above Grade B — validates that the pricing model is functioning as a risk premium, not a windfall.</w:t>
      </w:r>
    </w:p>
    <w:p>
      <w:pPr>
        <w:pStyle w:val="Heading2"/>
        <w:spacing w:after="80" w:before="240"/>
        <w:rPr>
          <w:b/>
          <w:bCs/>
          <w:color w:val="1F3864"/>
          <w:sz w:val="24"/>
          <w:szCs w:val="24"/>
        </w:rPr>
      </w:pPr>
      <w:r>
        <w:t xml:space="preserve">5.2 Purpose-Level Risk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Purpose</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Applications</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Good Loan %</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Bad Loan %</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Business Insight</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Wedding</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0.9K</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90.73%</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9.27%</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Highest reliability — marketing opportunity</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Medical</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0.7K</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85.01%</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14.99%</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Moderate risk — life event driven</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Educational</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0.3K</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84.13%</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15.87%</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Higher risk — income uncertainty</w:t>
            </w:r>
          </w:p>
        </w:tc>
      </w:tr>
    </w:tbl>
    <w:p>
      <w:pPr>
        <w:spacing w:before="240"/>
      </w:pPr>
    </w:p>
    <w:p>
      <w:pPr>
        <w:pBdr>
          <w:bottom w:val="single" w:color="E07B39" w:sz="6"/>
        </w:pBdr>
        <w:spacing w:after="120" w:before="120"/>
      </w:pPr>
      <w:r>
        <w:t xml:space="preserve"/>
      </w:r>
    </w:p>
    <w:p>
      <w:pPr>
        <w:pStyle w:val="Heading1"/>
        <w:spacing w:after="120" w:before="360"/>
        <w:rPr>
          <w:b/>
          <w:bCs/>
          <w:color w:val="1F3864"/>
          <w:sz w:val="28"/>
          <w:szCs w:val="28"/>
        </w:rPr>
      </w:pPr>
      <w:r>
        <w:t xml:space="preserve">6. Proposed Solution</w:t>
      </w:r>
    </w:p>
    <w:p>
      <w:pPr>
        <w:spacing w:after="60" w:before="60"/>
      </w:pPr>
      <w:r>
        <w:rPr>
          <w:color w:val="2C2C2C"/>
          <w:sz w:val="22"/>
          <w:szCs w:val="22"/>
        </w:rPr>
        <w:t xml:space="preserve">The solution is a two-dashboard Excel workbook built on a structured Design Sheet architecture:</w:t>
      </w:r>
    </w:p>
    <w:p>
      <w:pPr>
        <w:pStyle w:val="Heading2"/>
        <w:spacing w:after="80" w:before="240"/>
        <w:rPr>
          <w:b/>
          <w:bCs/>
          <w:color w:val="1F3864"/>
          <w:sz w:val="24"/>
          <w:szCs w:val="24"/>
        </w:rPr>
      </w:pPr>
      <w:r>
        <w:t xml:space="preserve">6.1 Summary Dashboard</w:t>
      </w:r>
    </w:p>
    <w:p>
      <w:pPr>
        <w:spacing w:after="60" w:before="60"/>
      </w:pPr>
      <w:r>
        <w:rPr>
          <w:color w:val="2C2C2C"/>
          <w:sz w:val="22"/>
          <w:szCs w:val="22"/>
        </w:rPr>
        <w:t xml:space="preserve">Provides a single-pane view of all 5 core KPIs with Overall, MTD, and MoM values. Includes Good Loan and Bad Loan donut charts, and a Loan Status breakdown table showing application count, funded amount, received amount, interest rate, and DTI for Fully Paid, Charged Off, and Current segments.</w:t>
      </w:r>
    </w:p>
    <w:p>
      <w:pPr>
        <w:pStyle w:val="Heading2"/>
        <w:spacing w:after="80" w:before="240"/>
        <w:rPr>
          <w:b/>
          <w:bCs/>
          <w:color w:val="1F3864"/>
          <w:sz w:val="24"/>
          <w:szCs w:val="24"/>
        </w:rPr>
      </w:pPr>
      <w:r>
        <w:t xml:space="preserve">6.2 Overview Dashboard</w:t>
      </w:r>
    </w:p>
    <w:p>
      <w:pPr>
        <w:spacing w:after="60" w:before="60"/>
      </w:pPr>
      <w:r>
        <w:rPr>
          <w:color w:val="2C2C2C"/>
          <w:sz w:val="22"/>
          <w:szCs w:val="22"/>
        </w:rPr>
        <w:t xml:space="preserve">Provides the analytical depth layer: monthly trend line, US state choropleth map, loan term donut chart, employment length distribution, loan purpose ranking, and home ownership treemap.</w:t>
      </w:r>
    </w:p>
    <w:p>
      <w:pPr>
        <w:pStyle w:val="Heading2"/>
        <w:spacing w:after="80" w:before="240"/>
        <w:rPr>
          <w:b/>
          <w:bCs/>
          <w:color w:val="1F3864"/>
          <w:sz w:val="24"/>
          <w:szCs w:val="24"/>
        </w:rPr>
      </w:pPr>
      <w:r>
        <w:t xml:space="preserve">6.3 Design Sheet Architecture</w:t>
      </w:r>
    </w:p>
    <w:p>
      <w:pPr>
        <w:spacing w:after="60" w:before="60"/>
      </w:pPr>
      <w:r>
        <w:rPr>
          <w:color w:val="2C2C2C"/>
          <w:sz w:val="22"/>
          <w:szCs w:val="22"/>
        </w:rPr>
        <w:t xml:space="preserve">All pivot tables and source charts are housed in a dedicated Design Sheet tab, isolated from the dashboard presentation layer. This architecture enables non-technical users to refresh the dashboard by simply updating the Data tab and refreshing all pivots — without touching dashboard formatting or formula logic.</w:t>
      </w:r>
    </w:p>
    <w:p>
      <w:pPr>
        <w:pBdr>
          <w:bottom w:val="single" w:color="E07B39" w:sz="6"/>
        </w:pBdr>
        <w:spacing w:after="120" w:before="120"/>
      </w:pPr>
      <w:r>
        <w:t xml:space="preserve"/>
      </w:r>
    </w:p>
    <w:p>
      <w:pPr>
        <w:pStyle w:val="Heading1"/>
        <w:spacing w:after="120" w:before="360"/>
        <w:rPr>
          <w:b/>
          <w:bCs/>
          <w:color w:val="1F3864"/>
          <w:sz w:val="28"/>
          <w:szCs w:val="28"/>
        </w:rPr>
      </w:pPr>
      <w:r>
        <w:t xml:space="preserve">7. Limitations &amp; Future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Limitation</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Impact</w:t>
            </w:r>
          </w:p>
        </w:tc>
        <w:tc>
          <w:tcPr>
            <w:tcW w:type="pct" w:w="25%"/>
            <w:shd w:fill="1F3864" w:val="clear"/>
            <w:tcMar>
              <w:top w:type="dxa" w:w="80"/>
              <w:left w:type="dxa" w:w="120"/>
              <w:bottom w:type="dxa" w:w="80"/>
              <w:right w:type="dxa" w:w="120"/>
            </w:tcMar>
          </w:tcPr>
          <w:p>
            <w:pPr>
              <w:spacing w:after="60" w:before="60"/>
            </w:pPr>
            <w:r>
              <w:rPr>
                <w:b/>
                <w:bCs/>
                <w:color w:val="FFFFFF"/>
                <w:sz w:val="20"/>
                <w:szCs w:val="20"/>
              </w:rPr>
              <w:t xml:space="preserve">Proposed Resolution</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Static dataset — no live refresh</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Dashboard requires manual data append and pivot refresh</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Power Query automation in v2.0</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No predictive layer</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Dashboard is descriptive only — cannot score new applications for default probability</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Add Logistic Regression model in Python (v2.0)</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Excel-only environment</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Bing Maps integration requires Excel 365 — older versions show blank map</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Tableau port planned for v2.0</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US geography only</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State map is US-centric; Canadian lender context requires provincial mapping</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Canadian province map in v3.0</w:t>
            </w:r>
          </w:p>
        </w:tc>
      </w:tr>
      <w:tr>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Single-year time window</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Cannot perform year-over-year (YoY) analysis with current dataset scope</w:t>
            </w:r>
          </w:p>
        </w:tc>
        <w:tc>
          <w:tcPr>
            <w:tcW w:type="pct" w:w="25%"/>
            <w:shd w:val="clear" w:color="auto" w:fill="auto"/>
            <w:tcMar>
              <w:top w:type="dxa" w:w="80"/>
              <w:left w:type="dxa" w:w="120"/>
              <w:bottom w:type="dxa" w:w="80"/>
              <w:right w:type="dxa" w:w="120"/>
            </w:tcMar>
          </w:tcPr>
          <w:p>
            <w:pPr>
              <w:spacing w:after="60" w:before="60"/>
            </w:pPr>
            <w:r>
              <w:rPr>
                <w:b w:val="false"/>
                <w:bCs w:val="false"/>
                <w:color w:val="2C2C2C"/>
                <w:sz w:val="20"/>
                <w:szCs w:val="20"/>
              </w:rPr>
              <w:t xml:space="preserve">Multi-year dataset acquisition for v2.0</w:t>
            </w:r>
          </w:p>
        </w:tc>
      </w:tr>
    </w:tbl>
    <w:p>
      <w:pPr>
        <w:spacing w:before="240"/>
      </w:pPr>
    </w:p>
    <w:p>
      <w:pPr>
        <w:pBdr>
          <w:bottom w:val="single" w:color="E07B39" w:sz="6"/>
        </w:pBdr>
        <w:spacing w:after="120" w:before="120"/>
      </w:pPr>
      <w:r>
        <w:t xml:space="preserve"/>
      </w:r>
    </w:p>
    <w:p>
      <w:pPr>
        <w:pStyle w:val="Heading1"/>
        <w:spacing w:after="120" w:before="360"/>
        <w:rPr>
          <w:b/>
          <w:bCs/>
          <w:color w:val="1F3864"/>
          <w:sz w:val="28"/>
          <w:szCs w:val="28"/>
        </w:rPr>
      </w:pPr>
      <w:r>
        <w:t xml:space="preserve">8. Conclusion</w:t>
      </w:r>
    </w:p>
    <w:p>
      <w:pPr>
        <w:spacing w:after="60" w:before="60"/>
      </w:pPr>
      <w:r>
        <w:rPr>
          <w:color w:val="2C2C2C"/>
          <w:sz w:val="22"/>
          <w:szCs w:val="22"/>
        </w:rPr>
        <w:t xml:space="preserve">This project delivers a fully functional, stakeholder-ready loan portfolio intelligence dashboard that transforms 38,600 raw loan records into actionable business insight. The solution directly addresses the three core gaps identified in the problem statement:</w:t>
      </w:r>
    </w:p>
    <w:p>
      <w:pPr>
        <w:pStyle w:val="ListParagraph"/>
        <w:numPr>
          <w:ilvl w:val="0"/>
          <w:numId w:val="1"/>
        </w:numPr>
        <w:spacing w:after="40" w:before="40"/>
      </w:pPr>
      <w:r>
        <w:rPr>
          <w:color w:val="2C2C2C"/>
          <w:sz w:val="22"/>
          <w:szCs w:val="22"/>
        </w:rPr>
        <w:t xml:space="preserve">Risk Invisibility: Resolved through Good/Bad Loan classification (86.18% / 13.82% split) with full funded and received amount breakdown.</w:t>
      </w:r>
    </w:p>
    <w:p>
      <w:pPr>
        <w:pStyle w:val="ListParagraph"/>
        <w:numPr>
          <w:ilvl w:val="0"/>
          <w:numId w:val="1"/>
        </w:numPr>
        <w:spacing w:after="40" w:before="40"/>
      </w:pPr>
      <w:r>
        <w:rPr>
          <w:color w:val="2C2C2C"/>
          <w:sz w:val="22"/>
          <w:szCs w:val="22"/>
        </w:rPr>
        <w:t xml:space="preserve">Performance Lag: Resolved through automated MTD and MoM calculations across all 5 KPIs, requiring only a pivot refresh each reporting cycle.</w:t>
      </w:r>
    </w:p>
    <w:p>
      <w:pPr>
        <w:pStyle w:val="ListParagraph"/>
        <w:numPr>
          <w:ilvl w:val="0"/>
          <w:numId w:val="1"/>
        </w:numPr>
        <w:spacing w:after="40" w:before="40"/>
      </w:pPr>
      <w:r>
        <w:rPr>
          <w:color w:val="2C2C2C"/>
          <w:sz w:val="22"/>
          <w:szCs w:val="22"/>
        </w:rPr>
        <w:t xml:space="preserve">Segment Blindness: Resolved through interactive Grade (A–G) and Purpose (13 categories) slicers that surface any segment combination in under 3 seconds.</w:t>
      </w:r>
    </w:p>
    <w:p>
      <w:pPr>
        <w:spacing w:after="60" w:before="60"/>
      </w:pPr>
      <w:r>
        <w:rPr>
          <w:color w:val="2C2C2C"/>
          <w:sz w:val="22"/>
          <w:szCs w:val="22"/>
        </w:rPr>
        <w:t xml:space="preserve">The project also surfaces three high-value business insights beyond the core brief: Grade E pricing model validation, Wedding loan portfolio opportunity, and the dominance of 10+ year employment borrowers as the lowest-risk employment cohort.</w:t>
      </w:r>
    </w:p>
    <w:p>
      <w:pPr>
        <w:spacing w:before="360"/>
      </w:pP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Portfolio Analytics Project | Manpreet Singh |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Bank Loan Intelligence Dashboard — Problem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2026-03-29T21:43:00.557Z</dcterms:created>
  <dcterms:modified xsi:type="dcterms:W3CDTF">2026-03-29T21:43:00.558Z</dcterms:modified>
</cp:coreProperties>
</file>

<file path=docProps/custom.xml><?xml version="1.0" encoding="utf-8"?>
<Properties xmlns="http://schemas.openxmlformats.org/officeDocument/2006/custom-properties" xmlns:vt="http://schemas.openxmlformats.org/officeDocument/2006/docPropsVTypes"/>
</file>