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авраамовъ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бесѣдоват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богъ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 Dat.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братꙗ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бꙑт</w:t>
      </w:r>
      <w:r>
        <w:t xml:space="preserve"> (</w:t>
        <w:t>12</w:t>
        <w:t xml:space="preserve"> + </w:t>
        <w:t>4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19/97d20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gramm.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4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39/186a11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3</w:t>
      </w:r>
      <w:r>
        <w:t xml:space="preserve">): </w:t>
      </w:r>
      <w:r>
        <w:t>1/W168a15</w:t>
      </w:r>
      <w:r>
        <w:t xml:space="preserve">; </w:t>
      </w:r>
      <w:r>
        <w:t>4/16a21</w:t>
      </w:r>
      <w:r>
        <w:t xml:space="preserve">; </w:t>
      </w:r>
      <w:r>
        <w:t>18/89d1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вел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вѣра велꙗ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вельгласьно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веселт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веселт сѧ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врьхъ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1/W168a25*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въ + Acc.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πρός + Acc. → πρός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въꙁврѣщ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въспѧть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εἰς τοὐπίσω → εἰς &amp; ὀπίσω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вьсѣмъ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вѣра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вѣра велꙗ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вѣра хвальна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;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грѣхъ</w:t>
      </w:r>
      <w:r>
        <w:t xml:space="preserve"> (</w:t>
        <w:t>2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υἱός</w:t>
      </w:r>
      <w:r>
        <w:t xml:space="preserve"> (</w:t>
        <w:t>1</w:t>
      </w:r>
      <w:r>
        <w:t xml:space="preserve">): </w:t>
      </w:r>
      <w:r>
        <w:t>5/17b12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51/236d11*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десѧть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добродѣтѣль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добра дѣтѣль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добръ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добра дѣтѣль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дѣтѣль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добра дѣтѣль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же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млтва pro жентва</w:t>
      </w:r>
      <w:r>
        <w:t xml:space="preserve"> S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ἐπὶ γῆς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ꙁлатоѹстъ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оанъ ꙁлатоѹстъ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оанъ ꙁлатоѹстъ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διὰ τῶν σημείων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ꙁнамен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творт ꙁнамен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 conj.</w:t>
      </w:r>
      <w:r>
        <w:t xml:space="preserve"> (</w:t>
        <w:t>9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  <w:r>
        <w:t xml:space="preserve">;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 pron.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1/W168a6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грат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ꙁ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оанъ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оанъ ꙁлатоѹстъ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родовъ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Ἡρώδης Gen.</w:t>
      </w:r>
      <w:r>
        <w:t xml:space="preserve"> (</w:t>
        <w:t>1</w:t>
      </w:r>
      <w:r>
        <w:t xml:space="preserve">): </w:t>
      </w:r>
      <w:r>
        <w:t>39/187a7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стна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въ стнѫ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 Inf.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 Inf.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цѣлт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ꙗковль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Ἰακώβ Gen.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39/184c10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ꙗковъ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къ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лѣпота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въ лѣпотѫ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любꙑ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молтва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err. млтва pro жентва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мѵрьскъ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Αἴγυπτος Gen.</w:t>
      </w:r>
      <w:r>
        <w:t xml:space="preserve"> (</w:t>
        <w:t>1</w:t>
      </w:r>
      <w:r>
        <w:t xml:space="preserve">): </w:t>
      </w:r>
      <w:r>
        <w:t>39/184a14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на + Loc.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наѧт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</w:t>
      </w:r>
      <w:r>
        <w:t xml:space="preserve"> (</w:t>
        <w:t>7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се pro не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творт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неѹвьнъ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MPbPcPdPa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оба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обраꙁъ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ꙗкоже обраꙁомь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овъ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око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отъ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отъ себе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 + Dat.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подъ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подъ + Instr.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помат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потрѣбьнъ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κατὰ τῆν χρείαν → κατά &amp; χρεία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διὰ τί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прьтьнкъ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пропѧт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про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ἑξῆς → ἑξῆς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4/17d20-5/29d9</w:t>
      </w:r>
      <w:r>
        <w:rPr>
          <w:vertAlign w:val="superscript"/>
        </w:rPr>
        <w:t>MiPcPdPePgPhPiPkPpTVVaVbVdYZaAFdLBPaPoSp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рад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рещ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1</w:t>
      </w:r>
      <w:r>
        <w:t xml:space="preserve">): </w:t>
      </w:r>
      <w:r>
        <w:t>25/123b5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рождьство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сво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себе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отъ себе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срѣь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τοῦτό ἐστι → οὗτος &amp; εἰμί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29/136a13</w:t>
      </w:r>
      <w:r>
        <w:rPr>
          <w:vertAlign w:val="superscript"/>
        </w:rPr>
        <w:t>PhZaBSp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ходт спѣѭще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страна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страсть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ἀδικία</w:t>
      </w:r>
      <w:r>
        <w:t xml:space="preserve"> (</w:t>
        <w:t>1</w:t>
      </w:r>
      <w:r>
        <w:t xml:space="preserve">): </w:t>
      </w:r>
      <w:r>
        <w:t>39/185c11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стрѹпъ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съдравъ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съꙁꙑват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38/GW235d2add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съмѣромѫдрость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съмѣрнъ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сътворт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err. се pro не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творт</w:t>
      </w:r>
      <w:r>
        <w:t xml:space="preserve"> (</w:t>
        <w:t>2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творт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творт ꙁнамен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тѣмь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 praep.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ѹенкъ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хамовъ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Χαναάν Gen.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39/184c9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хвальнъ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вѣра хвальна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ходт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ходт спѣѭще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;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ѧдь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ꙗвт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ꙗко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ꙗкоже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ꙗкоже обраꙁомь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1/W168a6</w:t>
      </w:r>
      <w:r>
        <w:t xml:space="preserve">; </w:t>
      </w:r>
      <w:r>
        <w:t>1/W168a31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om.</w:t>
      </w:r>
      <w:r>
        <w:t xml:space="preserve"> (</w:t>
        <w:t>7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≠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≈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bullet"/>
      <w:lvlText w:val="#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ListBullet">
    <w:name w:val="List Bullet"/>
    <w:basedOn w:val="ListParagraph"/>
    <w:qFormat/>
    <w:pPr>
      <w:numPr>
        <w:ilvl w:val="0"/>
        <w:numId w:val="5"/>
      </w:numPr>
    </w:pPr>
    <w:rPr>
      <w:rFonts w:ascii="Times New Roman" w:hAnsi="Times New Roman"/>
    </w:rPr>
  </w:style>
  <w:style w:type="paragraph" w:styleId="ListBullet0">
    <w:name w:val="List Bullet 0"/>
    <w:basedOn w:val="ListParagraph"/>
    <w:qFormat/>
    <w:pPr>
      <w:numPr>
        <w:ilvl w:val="0"/>
        <w:numId w:val="4"/>
      </w:numPr>
    </w:pPr>
    <w:rPr>
      <w:rFonts w:ascii="Times New Roman" w:hAnsi="Times New Roman"/>
    </w:rPr>
  </w:style>
  <w:style w:type="paragraph" w:styleId="ListBullet1">
    <w:name w:val="List Bullet 1"/>
    <w:basedOn w:val="ListParagraph"/>
    <w:qFormat/>
    <w:pPr>
      <w:numPr>
        <w:ilvl w:val="0"/>
        <w:numId w:val="3"/>
      </w:numPr>
    </w:pPr>
    <w:rPr>
      <w:rFonts w:ascii="Times New Roman" w:hAnsi="Times New Roman"/>
    </w:rPr>
  </w:style>
  <w:style w:type="paragraph" w:styleId="ListBullet2">
    <w:name w:val="List Bullet 2"/>
    <w:basedOn w:val="ListParagraph"/>
    <w:qFormat/>
    <w:pPr>
      <w:numPr>
        <w:ilvl w:val="0"/>
        <w:numId w:val="1"/>
      </w:numPr>
    </w:pPr>
    <w:rPr>
      <w:rFonts w:ascii="Times New Roman" w:hAnsi="Times New Roman"/>
    </w:rPr>
  </w:style>
  <w:style w:type="paragraph" w:styleId="ListBullet3">
    <w:name w:val="List Bullet 3"/>
    <w:basedOn w:val="ListParagraph"/>
    <w:qFormat/>
    <w:pPr>
      <w:numPr>
        <w:ilvl w:val="0"/>
        <w:numId w:val="2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fontScheme name="Office">
      <a:majorFont>
        <a:latin typeface="Times New Roman" panose="02110004020202020204" pitchFamily="0" charset="1"/>
      </a:majorFont>
      <a:minorFont>
        <a:latin typeface="Times New Roman" panose="02110004020202020204" pitchFamily="0" charset="1"/>
      </a:minorFont>
    </a:fon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