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perscript"/>
        </w:rPr>
        <w:t>GH</w:t>
      </w:r>
      <w:r>
        <w:rPr>
          <w:vertAlign w:val="subscript"/>
        </w:rPr>
        <w:t>β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β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rPr>
          <w:vertAlign w:val="subscript"/>
        </w:rPr>
        <w:t>β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1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β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C-WGH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WG → ходъ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bscript"/>
        </w:rPr>
        <w:t>β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rPr>
          <w:vertAlign w:val="subscript"/>
        </w:rPr>
        <w:t>β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