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авраамовъ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+ Acc.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1</w:t>
      </w:r>
      <w:r>
        <w:t xml:space="preserve">): </w:t>
      </w:r>
      <w:r>
        <w:t>18/89d1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вода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ὕδωρ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грѣхъ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ἁμαρτία</w:t>
      </w:r>
      <w:r>
        <w:t xml:space="preserve"> (</w:t>
        <w:t>1</w:t>
      </w:r>
      <w:r>
        <w:t xml:space="preserve">): </w:t>
      </w:r>
      <w:r>
        <w:t>4/17b18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грѣхъ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каꙁат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παιδεύω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ἡμεῖς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нарещ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καλέω pass.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отъмѣтат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отъмѣтат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ἀναβάλλω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κατὰ τῆν χρείαν → κατά + Acc.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простъ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простѫ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ἁπλῶς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2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рещ</w:t>
      </w:r>
      <w:r>
        <w:t xml:space="preserve"> S</w:t>
      </w:r>
      <w:r>
        <w:t xml:space="preserve">;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рещ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τίκτω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слава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δόξα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τὸ εἰρημένον → λέγω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творт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не творт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#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ѧдь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ꙗкоже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ꙗкоже  обраꙁомь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Γεργεσηνός Gen.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δαιμονιζόμενος → δαιμονίζομαι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ἐξέρχομαι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ὑπαντάω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