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c-summary"/>
    <w:p>
      <w:pPr>
        <w:pStyle w:val="Heading1"/>
      </w:pPr>
      <w:r>
        <w:t xml:space="preserve">1. Summary</w:t>
      </w:r>
    </w:p>
    <w:p>
      <w:pPr>
        <w:pStyle w:val="FirstParagraph"/>
      </w:pPr>
      <w:r>
        <w:rPr>
          <w:rStyle w:val="VerbatimChar"/>
        </w:rPr>
        <w:t xml:space="preserve">Decalendar</w:t>
      </w:r>
      <w:r>
        <w:t xml:space="preserve"> </w:t>
      </w:r>
      <w:r>
        <w:t xml:space="preserve">is a calendar system that aims to first peacefully co-exist with, but then ultimately replace the</w:t>
      </w:r>
      <w:r>
        <w:t xml:space="preserve"> </w:t>
      </w:r>
      <w:hyperlink r:id="rId20">
        <w:r>
          <w:rPr>
            <w:rStyle w:val="Hyperlink"/>
          </w:rPr>
          <w:t xml:space="preserve">Gregorian calendar</w:t>
        </w:r>
      </w:hyperlink>
      <w:r>
        <w:t xml:space="preserve">. Similarly,</w:t>
      </w:r>
      <w:r>
        <w:t xml:space="preserve"> </w:t>
      </w:r>
      <w:r>
        <w:rPr>
          <w:rStyle w:val="VerbatimChar"/>
        </w:rPr>
        <w:t xml:space="preserve">Declock</w:t>
      </w:r>
      <w:r>
        <w:t xml:space="preserve"> </w:t>
      </w:r>
      <w:r>
        <w:t xml:space="preserve">is a timekeeping system designed to take the place of</w:t>
      </w:r>
      <w:r>
        <w:t xml:space="preserve"> </w:t>
      </w:r>
      <w:hyperlink r:id="rId21">
        <w:r>
          <w:rPr>
            <w:rStyle w:val="Hyperlink"/>
          </w:rPr>
          <w:t xml:space="preserve">standard time</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days as their base unit and derive other units from days using metric, Roman, and Greek</w:t>
      </w:r>
      <w:r>
        <w:t xml:space="preserve"> </w:t>
      </w:r>
      <w:hyperlink r:id="rId22">
        <w:r>
          <w:rPr>
            <w:rStyle w:val="Hyperlink"/>
          </w:rPr>
          <w:t xml:space="preserve">numeral prefixes</w:t>
        </w:r>
      </w:hyperlink>
      <w:r>
        <w:t xml:space="preserve">. In essence,</w:t>
      </w:r>
      <w:r>
        <w:t xml:space="preserve"> </w:t>
      </w:r>
      <w:r>
        <w:rPr>
          <w:rStyle w:val="VerbatimChar"/>
        </w:rPr>
        <w:t xml:space="preserve">Decalendar</w:t>
      </w:r>
      <w:r>
        <w:t xml:space="preserve"> </w:t>
      </w:r>
      <w:r>
        <w:t xml:space="preserve">units group days together, while</w:t>
      </w:r>
      <w:r>
        <w:t xml:space="preserve"> </w:t>
      </w:r>
      <w:r>
        <w:rPr>
          <w:rStyle w:val="VerbatimChar"/>
        </w:rPr>
        <w:t xml:space="preserve">Declock</w:t>
      </w:r>
      <w:r>
        <w:t xml:space="preserve"> </w:t>
      </w:r>
      <w:r>
        <w:t xml:space="preserve">units divide days up.</w:t>
      </w:r>
    </w:p>
    <w:bookmarkEnd w:id="23"/>
    <w:bookmarkStart w:id="35" w:name="sec-glance"/>
    <w:p>
      <w:pPr>
        <w:pStyle w:val="Heading1"/>
      </w:pPr>
      <w:r>
        <w:t xml:space="preserve">2. At a glance</w:t>
      </w:r>
    </w:p>
    <w:p>
      <w:pPr>
        <w:pStyle w:val="FirstParagraph"/>
      </w:pPr>
      <w:r>
        <w:t xml:space="preserve">The</w:t>
      </w:r>
      <w:r>
        <w:t xml:space="preserve"> </w:t>
      </w:r>
      <w:r>
        <w:rPr>
          <w:rStyle w:val="VerbatimChar"/>
        </w:rPr>
        <w:t xml:space="preserve">Decalendar</w:t>
      </w:r>
      <w:r>
        <w:t xml:space="preserve"> </w:t>
      </w:r>
      <w:r>
        <w:t xml:space="preserve">ordinal (</w:t>
      </w:r>
      <w:r>
        <w:rPr>
          <w:rStyle w:val="VerbatimChar"/>
        </w:rPr>
        <w:t xml:space="preserve">deco</w:t>
      </w:r>
      <w:r>
        <w:t xml:space="preserve">) date format consists of a year and a day-of-the-year (</w:t>
      </w:r>
      <w:r>
        <w:rPr>
          <w:rStyle w:val="VerbatimChar"/>
        </w:rPr>
        <w:t xml:space="preserve">doty</w:t>
      </w:r>
      <w:r>
        <w:t xml:space="preserve">) delimited by a plus sign (</w:t>
      </w:r>
      <w:r>
        <w:rPr>
          <w:rStyle w:val="VerbatimChar"/>
        </w:rPr>
        <w:t xml:space="preserve">year+day</w:t>
      </w:r>
      <w:r>
        <w:t xml:space="preserve">). As shown in</w:t>
      </w:r>
      <w:r>
        <w:t xml:space="preserve"> </w:t>
      </w:r>
      <w:r>
        <w:rPr>
          <w:bCs/>
          <w:b/>
        </w:rPr>
        <w:t xml:space="preserve">?@fig-glance</w:t>
      </w:r>
      <w:r>
        <w:t xml:space="preserve">, the last digit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first two digits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w:t>
      </w:r>
    </w:p>
    <w:p>
      <w:pPr>
        <w:pStyle w:val="BodyText"/>
      </w:pPr>
      <w:r>
        <w:t xml:space="preserve">Each</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 two bar charts that compare the typical weekly schedule and the</w:t>
      </w:r>
      <w:r>
        <w:t xml:space="preserve"> </w:t>
      </w:r>
      <w:r>
        <w:rPr>
          <w:rStyle w:val="VerbatimChar"/>
        </w:rPr>
        <w:t xml:space="preserve">Schedule 3</w:t>
      </w:r>
      <w:r>
        <w:t xml:space="preserve"> </w:t>
      </w:r>
      <w:r>
        <w:rPr>
          <w:rStyle w:val="VerbatimChar"/>
        </w:rPr>
        <w:t xml:space="preserve">pently</w:t>
      </w:r>
      <w:r>
        <w:t xml:space="preserve"> </w:t>
      </w:r>
      <w:r>
        <w:t xml:space="preserve">schedule.</w:t>
      </w:r>
      <w:r>
        <w:t xml:space="preserve"> </w:t>
      </w:r>
      <w:hyperlink w:anchor="sec-pently">
        <w:r>
          <w:rPr>
            <w:rStyle w:val="Hyperlink"/>
          </w:rPr>
          <w:t xml:space="preserve">Section 7.4.3.1</w:t>
        </w:r>
      </w:hyperlink>
      <w:r>
        <w:t xml:space="preserve"> </w:t>
      </w:r>
      <w:r>
        <w:t xml:space="preserve">provides more information on the</w:t>
      </w:r>
      <w:r>
        <w:t xml:space="preserve"> </w:t>
      </w:r>
      <w:r>
        <w:rPr>
          <w:rStyle w:val="VerbatimChar"/>
        </w:rPr>
        <w:t xml:space="preserve">pently</w:t>
      </w:r>
      <w:r>
        <w:t xml:space="preserve"> </w:t>
      </w:r>
      <w:r>
        <w:t xml:space="preserve">schedules. 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the proportions that are easier to express as fractions: 3/8 (.375), 1/3 (.3̅), and 7/24 (0.2916̅).</w:t>
      </w:r>
    </w:p>
    <w:p>
      <w:pPr>
        <w:pStyle w:val="BodyText"/>
      </w:pPr>
      <w:r>
        <w:t xml:space="preserve">In contrast, the proportions of the day in</w:t>
      </w:r>
      <w:r>
        <w:t xml:space="preserve"> </w:t>
      </w:r>
      <w:r>
        <w:rPr>
          <w:rStyle w:val="VerbatimChar"/>
        </w:rPr>
        <w:t xml:space="preserve">pently</w:t>
      </w:r>
      <w:r>
        <w:t xml:space="preserve"> </w:t>
      </w:r>
      <w:r>
        <w:t xml:space="preserve">schedules are never</w:t>
      </w:r>
      <w:r>
        <w:t xml:space="preserve"> </w:t>
      </w:r>
      <w:hyperlink r:id="rId24">
        <w:r>
          <w:rPr>
            <w:rStyle w:val="Hyperlink"/>
          </w:rPr>
          <w:t xml:space="preserve">repeating decimal</w:t>
        </w:r>
      </w:hyperlink>
      <w:r>
        <w:t xml:space="preserve"> </w:t>
      </w:r>
      <w:r>
        <w:t xml:space="preserve">numbers.</w:t>
      </w:r>
      <w:r>
        <w:t xml:space="preserve"> </w:t>
      </w:r>
      <w:r>
        <w:rPr>
          <w:rStyle w:val="VerbatimChar"/>
        </w:rPr>
        <w:t xml:space="preserve">Schedule 3</w:t>
      </w:r>
      <w:r>
        <w:t xml:space="preserve"> </w:t>
      </w:r>
      <w:r>
        <w:t xml:space="preserve">splits workdays up symmetrically into proportions of .3, .4, and .3.</w:t>
      </w:r>
      <w:r>
        <w:t xml:space="preserve"> </w:t>
      </w:r>
      <w:r>
        <w:rPr>
          <w:rStyle w:val="VerbatimChar"/>
        </w:rPr>
        <w:t xml:space="preserve">Declock</w:t>
      </w:r>
      <w:r>
        <w:t xml:space="preserve"> </w:t>
      </w:r>
      <w:r>
        <w:t xml:space="preserve">uses such proportions of the day instead of hours, minutes, or seconds. The</w:t>
      </w:r>
      <w:r>
        <w:t xml:space="preserve"> </w:t>
      </w:r>
      <w:r>
        <w:rPr>
          <w:rStyle w:val="VerbatimChar"/>
        </w:rPr>
        <w:t xml:space="preserve">Schedule 3</w:t>
      </w:r>
      <w:r>
        <w:t xml:space="preserve"> </w:t>
      </w:r>
      <w:r>
        <w:t xml:space="preserve">workday starts at .3 (7.2 hours), lasts .4 (9.6 hours), and ends at .7 (16.8 hours).</w:t>
      </w:r>
      <w:r>
        <w:t xml:space="preserve"> </w:t>
      </w:r>
      <w:r>
        <w:rPr>
          <w:rStyle w:val="VerbatimChar"/>
        </w:rPr>
        <w:t xml:space="preserve">Schedule 3</w:t>
      </w:r>
      <w:r>
        <w:t xml:space="preserve"> </w:t>
      </w:r>
      <w:r>
        <w:t xml:space="preserve">compensates longer workdays with more frequent restdays. In</w:t>
      </w:r>
      <w:r>
        <w:t xml:space="preserve"> </w:t>
      </w:r>
      <w:r>
        <w:rPr>
          <w:rStyle w:val="VerbatimChar"/>
        </w:rPr>
        <w:t xml:space="preserve">Schedule 3</w:t>
      </w:r>
      <w:r>
        <w:t xml:space="preserve">, the are 3 workdays separated by a 2-day</w:t>
      </w:r>
      <w:r>
        <w:t xml:space="preserve"> </w:t>
      </w:r>
      <w:r>
        <w:rPr>
          <w:rStyle w:val="VerbatimChar"/>
        </w:rPr>
        <w:t xml:space="preserve">pentend</w:t>
      </w:r>
      <w:r>
        <w:t xml:space="preserve">.</w:t>
      </w:r>
    </w:p>
    <w:bookmarkStart w:id="25" w:name="exm-glance"/>
    <w:p>
      <w:pPr>
        <w:pStyle w:val="BodyText"/>
      </w:pPr>
      <w:r>
        <w:rPr>
          <w:bCs/>
          <w:b/>
        </w:rPr>
        <w:t xml:space="preserve">Example 1</w:t>
      </w:r>
      <w:r>
        <w:rPr>
          <w:bCs/>
          <w:b/>
        </w:rPr>
        <w:t xml:space="preserve"> </w:t>
      </w:r>
      <w:r>
        <w:t xml:space="preserve"> </w:t>
      </w:r>
    </w:p>
    <w:bookmarkEnd w:id="25"/>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).set_index(</w:t>
      </w:r>
      <w:r>
        <w:rPr>
          <w:rStyle w:val="StringTok"/>
        </w:rPr>
        <w:t xml:space="preserve">"Days"</w:t>
      </w:r>
      <w:r>
        <w:rPr>
          <w:rStyle w:val="NormalTok"/>
        </w:rPr>
        <w:t xml:space="preserve">).plot.bar(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.8</w:t>
      </w:r>
      <w:r>
        <w:rPr>
          <w:rStyle w:val="NormalTok"/>
        </w:rPr>
        <w:t xml:space="preserve">,</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bbox_to_anchor</w:t>
      </w:r>
      <w:r>
        <w:rPr>
          <w:rStyle w:val="OperatorTok"/>
        </w:rPr>
        <w:t xml:space="preserve">=</w:t>
      </w:r>
      <w:r>
        <w:rPr>
          <w:rStyle w:val="NormalTok"/>
        </w:rPr>
        <w:t xml:space="preserve">(</w:t>
      </w:r>
      <w:r>
        <w:rPr>
          <w:rStyle w:val="FloatTok"/>
        </w:rPr>
        <w:t xml:space="preserve">1.2</w:t>
      </w:r>
      <w:r>
        <w:rPr>
          <w:rStyle w:val="NormalTok"/>
        </w:rPr>
        <w:t xml:space="preserve">, </w:t>
      </w:r>
      <w:r>
        <w:rPr>
          <w:rStyle w:val="FloatTok"/>
        </w:rPr>
        <w:t xml:space="preserve">0.6</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rPr>
          <w:rStyle w:val="OperatorTok"/>
        </w:rPr>
        <w:t xml:space="preserve">;</w:t>
      </w:r>
      <w:r>
        <w:br/>
      </w:r>
      <w:r>
        <w:br/>
      </w:r>
      <w:r>
        <w:rPr>
          <w:rStyle w:val="NormalTok"/>
        </w:rPr>
        <w:t xml:space="preserve">ax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w:t>
      </w:r>
      <w:r>
        <w:rPr>
          <w:rStyle w:val="CharTok"/>
        </w:rPr>
        <w:t xml:space="preserve">\n</w:t>
      </w:r>
      <w:r>
        <w:rPr>
          <w:rStyle w:val="StringTok"/>
        </w:rPr>
        <w:t xml:space="preserve">5"</w:t>
      </w:r>
      <w:r>
        <w:rPr>
          <w:rStyle w:val="NormalTok"/>
        </w:rPr>
        <w:t xml:space="preserve">, </w:t>
      </w:r>
      <w:r>
        <w:rPr>
          <w:rStyle w:val="StringTok"/>
        </w:rPr>
        <w:t xml:space="preserve">"1</w:t>
      </w:r>
      <w:r>
        <w:rPr>
          <w:rStyle w:val="CharTok"/>
        </w:rPr>
        <w:t xml:space="preserve">\n</w:t>
      </w:r>
      <w:r>
        <w:rPr>
          <w:rStyle w:val="StringTok"/>
        </w:rPr>
        <w:t xml:space="preserve">6"</w:t>
      </w:r>
      <w:r>
        <w:rPr>
          <w:rStyle w:val="NormalTok"/>
        </w:rPr>
        <w:t xml:space="preserve">, </w:t>
      </w:r>
      <w:r>
        <w:rPr>
          <w:rStyle w:val="StringTok"/>
        </w:rPr>
        <w:t xml:space="preserve">"2</w:t>
      </w:r>
      <w:r>
        <w:rPr>
          <w:rStyle w:val="CharTok"/>
        </w:rPr>
        <w:t xml:space="preserve">\n</w:t>
      </w:r>
      <w:r>
        <w:rPr>
          <w:rStyle w:val="StringTok"/>
        </w:rPr>
        <w:t xml:space="preserve">7"</w:t>
      </w:r>
      <w:r>
        <w:rPr>
          <w:rStyle w:val="NormalTok"/>
        </w:rPr>
        <w:t xml:space="preserve">, </w:t>
      </w:r>
      <w:r>
        <w:rPr>
          <w:rStyle w:val="StringTok"/>
        </w:rPr>
        <w:t xml:space="preserve">"3</w:t>
      </w:r>
      <w:r>
        <w:rPr>
          <w:rStyle w:val="CharTok"/>
        </w:rPr>
        <w:t xml:space="preserve">\n</w:t>
      </w:r>
      <w:r>
        <w:rPr>
          <w:rStyle w:val="StringTok"/>
        </w:rPr>
        <w:t xml:space="preserve">8"</w:t>
      </w:r>
      <w:r>
        <w:rPr>
          <w:rStyle w:val="NormalTok"/>
        </w:rPr>
        <w:t xml:space="preserve">, </w:t>
      </w:r>
      <w:r>
        <w:rPr>
          <w:rStyle w:val="StringTok"/>
        </w:rPr>
        <w:t xml:space="preserve">"4</w:t>
      </w:r>
      <w:r>
        <w:rPr>
          <w:rStyle w:val="CharTok"/>
        </w:rPr>
        <w:t xml:space="preserve">\n</w:t>
      </w:r>
      <w:r>
        <w:rPr>
          <w:rStyle w:val="StringTok"/>
        </w:rPr>
        <w:t xml:space="preserve">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).set_index(</w:t>
      </w:r>
      <w:r>
        <w:rPr>
          <w:rStyle w:val="StringTok"/>
        </w:rPr>
        <w:t xml:space="preserve">"Days"</w:t>
      </w:r>
      <w:r>
        <w:rPr>
          <w:rStyle w:val="NormalTok"/>
        </w:rPr>
        <w:t xml:space="preserve">).plot.bar(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"Dekly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.8</w:t>
      </w:r>
      <w:r>
        <w:rPr>
          <w:rStyle w:val="NormalTok"/>
        </w:rPr>
        <w:t xml:space="preserve">,</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bbox_to_anchor</w:t>
      </w:r>
      <w:r>
        <w:rPr>
          <w:rStyle w:val="OperatorTok"/>
        </w:rPr>
        <w:t xml:space="preserve">=</w:t>
      </w:r>
      <w:r>
        <w:rPr>
          <w:rStyle w:val="NormalTok"/>
        </w:rPr>
        <w:t xml:space="preserve">(</w:t>
      </w:r>
      <w:r>
        <w:rPr>
          <w:rStyle w:val="FloatTok"/>
        </w:rPr>
        <w:t xml:space="preserve">1.2</w:t>
      </w:r>
      <w:r>
        <w:rPr>
          <w:rStyle w:val="NormalTok"/>
        </w:rPr>
        <w:t xml:space="preserve">, </w:t>
      </w:r>
      <w:r>
        <w:rPr>
          <w:rStyle w:val="FloatTok"/>
        </w:rPr>
        <w:t xml:space="preserve">0.6</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r>
        <w:rPr>
          <w:rStyle w:val="OperatorTok"/>
        </w:rPr>
        <w:t xml:space="preserve">;</w:t>
      </w:r>
    </w:p>
    <w:tbl>
      <w:tblPr>
        <w:tblStyle w:val="Table"/>
        <w:tblW w:type="pct" w:w="5000"/>
        <w:tblLook w:firstRow="0" w:lastRow="0" w:firstColumn="0" w:lastColumn="0" w:noHBand="0" w:noVBand="0" w:val="0000"/>
        <w:jc w:val="start"/>
      </w:tblPr>
      <w:tblGrid>
        <w:gridCol w:w="7920"/>
      </w:tblGrid>
      <w:tr>
        <w:tc>
          <w:tcPr/>
          <w:bookmarkStart w:id="34"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9" w:name="fig-schedules-1"/>
                      <w:p>
                        <w:pPr>
                          <w:jc w:val="center"/>
                          <w:jc w:val="center"/>
                          <w:jc w:val="center"/>
                        </w:pPr>
                        <w:r>
                          <w:drawing>
                            <wp:inline>
                              <wp:extent cx="2971800" cy="2044775"/>
                              <wp:effectExtent b="0" l="0" r="0" t="0"/>
                              <wp:docPr descr="" title="" id="27" name="Picture"/>
                              <a:graphic>
                                <a:graphicData uri="http://schemas.openxmlformats.org/drawingml/2006/picture">
                                  <pic:pic>
                                    <pic:nvPicPr>
                                      <pic:cNvPr descr="decalendar_tabset_files/figure-docx/fig-schedules-output-1.png" id="28" name="Picture"/>
                                      <pic:cNvPicPr>
                                        <a:picLocks noChangeArrowheads="1" noChangeAspect="1"/>
                                      </pic:cNvPicPr>
                                    </pic:nvPicPr>
                                    <pic:blipFill>
                                      <a:blip r:embed="rId26"/>
                                      <a:stretch>
                                        <a:fillRect/>
                                      </a:stretch>
                                    </pic:blipFill>
                                    <pic:spPr bwMode="auto">
                                      <a:xfrm>
                                        <a:off x="0" y="0"/>
                                        <a:ext cx="2971800" cy="2044775"/>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Gentoo penguins tend to have thinner bills,</w:t>
                        </w:r>
                      </w:p>
                      <w:bookmarkEnd w:id="29"/>
                    </w:tc>
                  </w:tr>
                </w:tbl>
                <w:p/>
              </w:tc>
              <w:tc>
                <w:tcPr/>
                <w:tbl>
                  <w:tblPr>
                    <w:tblStyle w:val="Table"/>
                    <w:tblW w:type="pct" w:w="5000"/>
                    <w:tblLook w:firstRow="0" w:lastRow="0" w:firstColumn="0" w:lastColumn="0" w:noHBand="0" w:noVBand="0" w:val="0000"/>
                    <w:jc w:val="start"/>
                  </w:tblPr>
                  <w:tblGrid>
                    <w:gridCol w:w="7920"/>
                  </w:tblGrid>
                  <w:tr>
                    <w:tc>
                      <w:tcPr/>
                      <w:bookmarkStart w:id="33" w:name="fig-schedules-2"/>
                      <w:p>
                        <w:pPr>
                          <w:jc w:val="center"/>
                          <w:jc w:val="center"/>
                          <w:jc w:val="center"/>
                        </w:pPr>
                        <w:r>
                          <w:drawing>
                            <wp:inline>
                              <wp:extent cx="2971800" cy="2146792"/>
                              <wp:effectExtent b="0" l="0" r="0" t="0"/>
                              <wp:docPr descr="" title="" id="31" name="Picture"/>
                              <a:graphic>
                                <a:graphicData uri="http://schemas.openxmlformats.org/drawingml/2006/picture">
                                  <pic:pic>
                                    <pic:nvPicPr>
                                      <pic:cNvPr descr="decalendar_tabset_files/figure-docx/fig-schedules-output-2.png" id="32" name="Picture"/>
                                      <pic:cNvPicPr>
                                        <a:picLocks noChangeArrowheads="1" noChangeAspect="1"/>
                                      </pic:cNvPicPr>
                                    </pic:nvPicPr>
                                    <pic:blipFill>
                                      <a:blip r:embed="rId30"/>
                                      <a:stretch>
                                        <a:fillRect/>
                                      </a:stretch>
                                    </pic:blipFill>
                                    <pic:spPr bwMode="auto">
                                      <a:xfrm>
                                        <a:off x="0" y="0"/>
                                        <a:ext cx="2971800" cy="2146792"/>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and Adelie penguins tend to have shorter bills.</w:t>
                        </w:r>
                      </w:p>
                      <w:bookmarkEnd w:id="33"/>
                    </w:tc>
                  </w:tr>
                </w:tbl>
                <w:p/>
              </w:tc>
            </w:tr>
          </w:tbl>
          <w:p>
            <w:pPr>
              <w:jc w:val="center"/>
            </w:pPr>
            <w:pPr>
              <w:jc w:val="start"/>
              <w:spacing w:before="200"/>
              <w:pStyle w:val="ImageCaption"/>
            </w:pPr>
            <w:pPr>
              <w:spacing w:before="200"/>
              <w:pStyle w:val="ImageCaption"/>
            </w:pPr>
            <w:r>
              <w:t xml:space="preserve">Figure 1: Marginal distributions of bill dimensions</w:t>
            </w:r>
          </w:p>
          <w:bookmarkEnd w:id="34"/>
        </w:tc>
      </w:tr>
    </w:tbl>
    <w:bookmarkEnd w:id="35"/>
    <w:bookmarkStart w:id="188" w:name="sec-related"/>
    <w:p>
      <w:pPr>
        <w:pStyle w:val="Heading1"/>
      </w:pPr>
      <w:r>
        <w:t xml:space="preserve">3. Related systems</w:t>
      </w:r>
    </w:p>
    <w:bookmarkStart w:id="77" w:name="sec-greg"/>
    <w:p>
      <w:pPr>
        <w:pStyle w:val="Heading2"/>
      </w:pPr>
      <w:r>
        <w:t xml:space="preserve">3.1 Gregorian calendar</w:t>
      </w:r>
    </w:p>
    <w:bookmarkStart w:id="42" w:name="sec-coor"/>
    <w:p>
      <w:pPr>
        <w:pStyle w:val="Heading3"/>
      </w:pPr>
      <w:r>
        <w:t xml:space="preserve">3.1.1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36">
        <w:r>
          <w:rPr>
            <w:rStyle w:val="Hyperlink"/>
          </w:rPr>
          <w:t xml:space="preserve">geographic coordinate system</w:t>
        </w:r>
      </w:hyperlink>
      <w:r>
        <w:t xml:space="preserve"> </w:t>
      </w:r>
      <w:r>
        <w:t xml:space="preserve">or x and y in the</w:t>
      </w:r>
      <w:r>
        <w:t xml:space="preserve"> </w:t>
      </w:r>
      <w:hyperlink r:id="rId37">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1</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1</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2</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2</w:t>
        </w:r>
      </w:hyperlink>
      <w:r>
        <w:t xml:space="preserve"> </w:t>
      </w:r>
      <w:r>
        <w:t xml:space="preserve">are shown in</w:t>
      </w:r>
      <w:r>
        <w:t xml:space="preserve"> </w:t>
      </w:r>
      <w:r>
        <w:rPr>
          <w:rStyle w:val="VerbatimChar"/>
        </w:rPr>
        <w:t xml:space="preserve">mm-dd</w:t>
      </w:r>
      <w:r>
        <w:t xml:space="preserve"> </w:t>
      </w:r>
      <w:r>
        <w:t xml:space="preserve">format.</w:t>
      </w:r>
    </w:p>
    <w:bookmarkStart w:id="39" w:name="tbl-greg2doty"/>
    <w:p>
      <w:pPr>
        <w:pStyle w:val="Heading4"/>
      </w:pPr>
      <w:hyperlink w:anchor="tbl-greg2doty">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38" w:name="tbl-greg2doty"/>
          <w:p>
            <w:pPr>
              <w:pStyle w:val="TableCaption"/>
            </w:pPr>
            <w:r>
              <w:t xml:space="preserve">Table 1: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1: Gregorian calendar date to doty conversion"/>
            </w:tblPr>
            <w:tblGrid>
              <w:gridCol w:w="510"/>
              <w:gridCol w:w="638"/>
              <w:gridCol w:w="638"/>
              <w:gridCol w:w="638"/>
              <w:gridCol w:w="638"/>
              <w:gridCol w:w="638"/>
              <w:gridCol w:w="638"/>
              <w:gridCol w:w="638"/>
              <w:gridCol w:w="638"/>
              <w:gridCol w:w="638"/>
              <w:gridCol w:w="638"/>
              <w:gridCol w:w="510"/>
              <w:gridCol w:w="510"/>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38"/>
        </w:tc>
      </w:tr>
    </w:tbl>
    <w:bookmarkEnd w:id="39"/>
    <w:bookmarkStart w:id="41" w:name="tbl-doty2greg"/>
    <w:p>
      <w:pPr>
        <w:pStyle w:val="Heading4"/>
      </w:pPr>
      <w:hyperlink w:anchor="tbl-doty2greg">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40" w:name="tbl-doty2greg"/>
          <w:p>
            <w:pPr>
              <w:pStyle w:val="TableCaption"/>
            </w:pPr>
            <w:r>
              <w:t xml:space="preserve">Table 2:</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2: Doty number to Gregorian calendar date conversion"/>
            </w:tblPr>
            <w:tblGrid>
              <w:gridCol w:w="448"/>
              <w:gridCol w:w="747"/>
              <w:gridCol w:w="747"/>
              <w:gridCol w:w="747"/>
              <w:gridCol w:w="747"/>
              <w:gridCol w:w="747"/>
              <w:gridCol w:w="747"/>
              <w:gridCol w:w="747"/>
              <w:gridCol w:w="747"/>
              <w:gridCol w:w="747"/>
              <w:gridCol w:w="747"/>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40"/>
        </w:tc>
      </w:tr>
    </w:tbl>
    <w:bookmarkEnd w:id="41"/>
    <w:bookmarkEnd w:id="42"/>
    <w:bookmarkStart w:id="56" w:name="sec-conv"/>
    <w:p>
      <w:pPr>
        <w:pStyle w:val="Heading3"/>
      </w:pPr>
      <w:r>
        <w:t xml:space="preserve">3.1.2 Gregorian calendar date conversion</w:t>
      </w:r>
    </w:p>
    <w:p>
      <w:pPr>
        <w:pStyle w:val="FirstParagraph"/>
      </w:pPr>
      <w:r>
        <w:t xml:space="preserve">In addition to using a conversion table like</w:t>
      </w:r>
      <w:r>
        <w:t xml:space="preserve"> </w:t>
      </w:r>
      <w:hyperlink w:anchor="tbl-greg2doty">
        <w:r>
          <w:rPr>
            <w:rStyle w:val="Hyperlink"/>
          </w:rPr>
          <w:t xml:space="preserve">Table 1</w:t>
        </w:r>
      </w:hyperlink>
      <w:r>
        <w:t xml:space="preserve">, we can convert between Gregorian calendar dates and</w:t>
      </w:r>
      <w:r>
        <w:t xml:space="preserve"> </w:t>
      </w:r>
      <w:r>
        <w:rPr>
          <w:rStyle w:val="VerbatimChar"/>
        </w:rPr>
        <w:t xml:space="preserve">Decalendar</w:t>
      </w:r>
      <w:r>
        <w:t xml:space="preserve"> </w:t>
      </w:r>
      <w:r>
        <w:rPr>
          <w:rStyle w:val="VerbatimChar"/>
        </w:rPr>
        <w:t xml:space="preserve">doty</w:t>
      </w:r>
      <w:r>
        <w:t xml:space="preserve"> </w:t>
      </w:r>
      <w:r>
        <w:t xml:space="preserve">numbers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43">
        <w:r>
          <w:rPr>
            <w:rStyle w:val="VerbatimChar"/>
          </w:rPr>
          <w:t xml:space="preserve">days_from_civil</w:t>
        </w:r>
      </w:hyperlink>
      <w:r>
        <w:t xml:space="preserve"> </w:t>
      </w:r>
      <w:r>
        <w:t xml:space="preserve">and</w:t>
      </w:r>
      <w:r>
        <w:t xml:space="preserve"> </w:t>
      </w:r>
      <w:hyperlink r:id="rId44">
        <w:r>
          <w:rPr>
            <w:rStyle w:val="VerbatimChar"/>
          </w:rPr>
          <w:t xml:space="preserve">civil_from_days</w:t>
        </w:r>
      </w:hyperlink>
      <w:r>
        <w:t xml:space="preserve"> </w:t>
      </w:r>
      <w:r>
        <w:t xml:space="preserve">algorithms described by</w:t>
      </w:r>
      <w:r>
        <w:t xml:space="preserve"> </w:t>
      </w:r>
      <w:hyperlink r:id="rId45">
        <w:r>
          <w:rPr>
            <w:rStyle w:val="Hyperlink"/>
          </w:rPr>
          <w:t xml:space="preserve">Howard Hinnant</w:t>
        </w:r>
      </w:hyperlink>
      <w:r>
        <w:t xml:space="preserve"> </w:t>
      </w:r>
      <w:r>
        <w:t xml:space="preserve">in</w:t>
      </w:r>
      <w:r>
        <w:t xml:space="preserve"> </w:t>
      </w:r>
      <w:hyperlink r:id="rId46">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date2doty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doty2date</w:t>
      </w:r>
      <w:r>
        <w:t xml:space="preserve">, returns an array containing a month and a</w:t>
      </w:r>
      <w:r>
        <w:t xml:space="preserve"> </w:t>
      </w:r>
      <w:r>
        <w:rPr>
          <w:rStyle w:val="VerbatimChar"/>
        </w:rPr>
        <w:t xml:space="preserve">dotm</w:t>
      </w:r>
      <w:r>
        <w:t xml:space="preserve"> </w:t>
      </w:r>
      <w:r>
        <w:t xml:space="preserve">number.</w:t>
      </w:r>
    </w:p>
    <w:bookmarkStart w:id="47" w:name="exm-coor"/>
    <w:p>
      <w:pPr>
        <w:pStyle w:val="BodyText"/>
      </w:pPr>
      <w:r>
        <w:rPr>
          <w:bCs/>
          <w:b/>
        </w:rPr>
        <w:t xml:space="preserve">Example 2</w:t>
      </w:r>
      <w:r>
        <w:rPr>
          <w:bCs/>
          <w:b/>
        </w:rPr>
        <w:t xml:space="preserve"> </w:t>
      </w:r>
      <w:r>
        <w:t xml:space="preserve"> </w:t>
      </w:r>
    </w:p>
    <w:bookmarkEnd w:id="47"/>
    <w:p>
      <w:pPr>
        <w:pStyle w:val="Heading4"/>
      </w:pPr>
      <w:r>
        <w:t xml:space="preserve">JavaScript</w:t>
      </w:r>
    </w:p>
    <w:bookmarkStart w:id="48" w:name="date2doty"/>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48"/>
    <w:bookmarkStart w:id="49" w:name="doty2date"/>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doty2date</w:t>
      </w:r>
      <w:r>
        <w:rPr>
          <w:rStyle w:val="NormalTok"/>
        </w:rPr>
        <w:t xml:space="preserve">()</w:t>
      </w:r>
    </w:p>
    <w:p>
      <w:pPr>
        <w:pStyle w:val="SourceCode"/>
      </w:pPr>
      <w:r>
        <w:rPr>
          <w:rStyle w:val="VerbatimChar"/>
        </w:rPr>
        <w:t xml:space="preserve">[ 1, 1 ]</w:t>
      </w:r>
    </w:p>
    <w:bookmarkEnd w:id="49"/>
    <w:p>
      <w:pPr>
        <w:pStyle w:val="Heading4"/>
      </w:pPr>
      <w:r>
        <w:t xml:space="preserve">Julia</w:t>
      </w:r>
    </w:p>
    <w:bookmarkStart w:id="50" w:name="date2doty-1"/>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50"/>
    <w:bookmarkStart w:id="51" w:name="doty2date-1"/>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doty2date</w:t>
      </w:r>
      <w:r>
        <w:rPr>
          <w:rStyle w:val="NormalTok"/>
        </w:rPr>
        <w:t xml:space="preserve">()</w:t>
      </w:r>
    </w:p>
    <w:p>
      <w:pPr>
        <w:pStyle w:val="SourceCode"/>
      </w:pPr>
      <w:r>
        <w:rPr>
          <w:rStyle w:val="VerbatimChar"/>
        </w:rPr>
        <w:t xml:space="preserve">(1, 1)</w:t>
      </w:r>
    </w:p>
    <w:bookmarkEnd w:id="51"/>
    <w:p>
      <w:pPr>
        <w:pStyle w:val="Heading4"/>
      </w:pPr>
      <w:r>
        <w:t xml:space="preserve">Python</w:t>
      </w:r>
    </w:p>
    <w:bookmarkStart w:id="52" w:name="date2doty-2"/>
    <w:p>
      <w:pPr>
        <w:pStyle w:val="Heading5"/>
      </w:pPr>
      <w:r>
        <w:rPr>
          <w:rStyle w:val="VerbatimChar"/>
        </w:rPr>
        <w:t xml:space="preserve">date2doty</w:t>
      </w:r>
    </w:p>
    <w:p>
      <w:pPr>
        <w:pStyle w:val="SourceCode"/>
      </w:pPr>
      <w:r>
        <w:rPr>
          <w:rStyle w:val="KeywordTok"/>
        </w:rPr>
        <w:t xml:space="preserve">def</w:t>
      </w:r>
      <w:r>
        <w:rPr>
          <w:rStyle w:val="NormalTok"/>
        </w:rPr>
        <w:t xml:space="preserve"> date2doty(month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date2doty()</w:t>
      </w:r>
    </w:p>
    <w:p>
      <w:pPr>
        <w:pStyle w:val="SourceCode"/>
      </w:pPr>
      <w:r>
        <w:rPr>
          <w:rStyle w:val="VerbatimChar"/>
        </w:rPr>
        <w:t xml:space="preserve">306</w:t>
      </w:r>
    </w:p>
    <w:bookmarkEnd w:id="52"/>
    <w:bookmarkStart w:id="53" w:name="doty2date-2"/>
    <w:p>
      <w:pPr>
        <w:pStyle w:val="Heading5"/>
      </w:pPr>
      <w:r>
        <w:rPr>
          <w:rStyle w:val="VerbatimChar"/>
        </w:rPr>
        <w:t xml:space="preserve">doty2date</w:t>
      </w:r>
    </w:p>
    <w:p>
      <w:pPr>
        <w:pStyle w:val="SourceCode"/>
      </w:pPr>
      <w:r>
        <w:rPr>
          <w:rStyle w:val="KeywordTok"/>
        </w:rPr>
        <w:t xml:space="preserve">def</w:t>
      </w:r>
      <w:r>
        <w:rPr>
          <w:rStyle w:val="NormalTok"/>
        </w:rPr>
        <w:t xml:space="preserve"> doty2date(doty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doty2date()</w:t>
      </w:r>
    </w:p>
    <w:p>
      <w:pPr>
        <w:pStyle w:val="SourceCode"/>
      </w:pPr>
      <w:r>
        <w:rPr>
          <w:rStyle w:val="VerbatimChar"/>
        </w:rPr>
        <w:t xml:space="preserve">(1, 1)</w:t>
      </w:r>
    </w:p>
    <w:bookmarkEnd w:id="53"/>
    <w:p>
      <w:pPr>
        <w:pStyle w:val="Heading4"/>
      </w:pPr>
      <w:r>
        <w:t xml:space="preserve">R</w:t>
      </w:r>
    </w:p>
    <w:bookmarkStart w:id="54" w:name="date2doty-3"/>
    <w:p>
      <w:pPr>
        <w:pStyle w:val="Heading5"/>
      </w:pPr>
      <w:r>
        <w:rPr>
          <w:rStyle w:val="VerbatimChar"/>
        </w:rPr>
        <w:t xml:space="preserve">date2doty</w:t>
      </w:r>
    </w:p>
    <w:p>
      <w:pPr>
        <w:pStyle w:val="SourceCode"/>
      </w:pPr>
      <w:r>
        <w:rPr>
          <w:rStyle w:val="NormalTok"/>
        </w:rPr>
        <w:t xml:space="preserve">date2doty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Unable to display output for mime type(s): text/html</w:t>
      </w:r>
    </w:p>
    <w:bookmarkEnd w:id="54"/>
    <w:bookmarkStart w:id="55" w:name="doty2date-3"/>
    <w:p>
      <w:pPr>
        <w:pStyle w:val="Heading5"/>
      </w:pPr>
      <w:r>
        <w:rPr>
          <w:rStyle w:val="VerbatimChar"/>
        </w:rPr>
        <w:t xml:space="preserve">doty2date</w:t>
      </w:r>
    </w:p>
    <w:p>
      <w:pPr>
        <w:pStyle w:val="SourceCode"/>
      </w:pPr>
      <w:r>
        <w:rPr>
          <w:rStyle w:val="NormalTok"/>
        </w:rPr>
        <w:t xml:space="preserve">doty2date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doty2date</w:t>
      </w:r>
      <w:r>
        <w:rPr>
          <w:rStyle w:val="NormalTok"/>
        </w:rPr>
        <w:t xml:space="preserve">()</w:t>
      </w:r>
    </w:p>
    <w:p>
      <w:pPr>
        <w:pStyle w:val="SourceCode"/>
      </w:pPr>
      <w:r>
        <w:rPr>
          <w:rStyle w:val="VerbatimChar"/>
        </w:rPr>
        <w:t xml:space="preserve">Unable to display output for mime type(s): text/html</w:t>
      </w:r>
    </w:p>
    <w:bookmarkEnd w:id="55"/>
    <w:bookmarkEnd w:id="56"/>
    <w:bookmarkStart w:id="68" w:name="sec-gregm"/>
    <w:p>
      <w:pPr>
        <w:pStyle w:val="Heading3"/>
      </w:pPr>
      <w:r>
        <w:t xml:space="preserve">3.1.3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3</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Decalendar</w:t>
      </w:r>
      <w:r>
        <w:t xml:space="preserve"> </w:t>
      </w:r>
      <w:r>
        <w:rPr>
          <w:rStyle w:val="VerbatimChar"/>
        </w:rPr>
        <w:t xml:space="preserve">doty</w:t>
      </w:r>
      <w:r>
        <w:t xml:space="preserve"> </w:t>
      </w:r>
      <w:r>
        <w:t xml:space="preserve">(</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59" w:name="tbl-gregm"/>
    <w:p>
      <w:pPr>
        <w:pStyle w:val="Heading4"/>
      </w:pPr>
      <w:hyperlink w:anchor="tbl-gregm">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57" w:name="tbl-gregm"/>
          <w:p>
            <w:pPr>
              <w:pStyle w:val="TableCaption"/>
            </w:pPr>
            <w:r>
              <w:t xml:space="preserve">Table 3: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3: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57"/>
        </w:tc>
      </w:tr>
    </w:tbl>
    <w:bookmarkStart w:id="58" w:name="exm-gregm"/>
    <w:p>
      <w:pPr>
        <w:pStyle w:val="BodyText"/>
      </w:pPr>
      <w:r>
        <w:rPr>
          <w:bCs/>
          <w:b/>
        </w:rPr>
        <w:t xml:space="preserve">Example 3</w:t>
      </w:r>
      <w:r>
        <w:rPr>
          <w:bCs/>
          <w:b/>
        </w:rPr>
        <w:t xml:space="preserve"> </w:t>
      </w:r>
      <w:r>
        <w:t xml:space="preserve"> </w:t>
      </w:r>
    </w:p>
    <w:bookmarkEnd w:id="58"/>
    <w:bookmarkEnd w:id="59"/>
    <w:p>
      <w:pPr>
        <w:pStyle w:val="Heading4"/>
      </w:pPr>
      <w:r>
        <w:t xml:space="preserve">JavaScript</w:t>
      </w:r>
    </w:p>
    <w:bookmarkStart w:id="60" w:name="date2year"/>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date2year</w:t>
      </w:r>
      <w:r>
        <w:rPr>
          <w:rStyle w:val="NormalTok"/>
        </w:rPr>
        <w:t xml:space="preserve">())</w:t>
      </w:r>
      <w:r>
        <w:rPr>
          <w:rStyle w:val="OperatorTok"/>
        </w:rPr>
        <w:t xml:space="preserve">;</w:t>
      </w:r>
    </w:p>
    <w:p>
      <w:pPr>
        <w:pStyle w:val="SourceCode"/>
      </w:pPr>
      <w:r>
        <w:rPr>
          <w:rStyle w:val="VerbatimChar"/>
        </w:rPr>
        <w:t xml:space="preserve">1969</w:t>
      </w:r>
    </w:p>
    <w:bookmarkEnd w:id="60"/>
    <w:bookmarkStart w:id="61"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61"/>
    <w:p>
      <w:pPr>
        <w:pStyle w:val="Heading4"/>
      </w:pPr>
      <w:r>
        <w:t xml:space="preserve">Julia</w:t>
      </w:r>
    </w:p>
    <w:bookmarkStart w:id="62" w:name="date2year-1"/>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date2year</w:t>
      </w:r>
      <w:r>
        <w:rPr>
          <w:rStyle w:val="NormalTok"/>
        </w:rPr>
        <w:t xml:space="preserve">()</w:t>
      </w:r>
    </w:p>
    <w:p>
      <w:pPr>
        <w:pStyle w:val="SourceCode"/>
      </w:pPr>
      <w:r>
        <w:rPr>
          <w:rStyle w:val="VerbatimChar"/>
        </w:rPr>
        <w:t xml:space="preserve">1969</w:t>
      </w:r>
    </w:p>
    <w:bookmarkEnd w:id="62"/>
    <w:bookmarkStart w:id="63"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63"/>
    <w:p>
      <w:pPr>
        <w:pStyle w:val="Heading4"/>
      </w:pPr>
      <w:r>
        <w:t xml:space="preserve">Python</w:t>
      </w:r>
    </w:p>
    <w:bookmarkStart w:id="64" w:name="date2year-2"/>
    <w:p>
      <w:pPr>
        <w:pStyle w:val="Heading5"/>
      </w:pPr>
      <w:r>
        <w:rPr>
          <w:rStyle w:val="VerbatimChar"/>
        </w:rPr>
        <w:t xml:space="preserve">date2year</w:t>
      </w:r>
    </w:p>
    <w:p>
      <w:pPr>
        <w:pStyle w:val="SourceCode"/>
      </w:pPr>
      <w:r>
        <w:rPr>
          <w:rStyle w:val="KeywordTok"/>
        </w:rPr>
        <w:t xml:space="preserve">def</w:t>
      </w:r>
      <w:r>
        <w:rPr>
          <w:rStyle w:val="NormalTok"/>
        </w:rPr>
        <w:t xml:space="preserve"> date2year(year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date2year()</w:t>
      </w:r>
    </w:p>
    <w:p>
      <w:pPr>
        <w:pStyle w:val="SourceCode"/>
      </w:pPr>
      <w:r>
        <w:rPr>
          <w:rStyle w:val="VerbatimChar"/>
        </w:rPr>
        <w:t xml:space="preserve">1969</w:t>
      </w:r>
    </w:p>
    <w:bookmarkEnd w:id="64"/>
    <w:bookmarkStart w:id="65"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65"/>
    <w:p>
      <w:pPr>
        <w:pStyle w:val="Heading4"/>
      </w:pPr>
      <w:r>
        <w:t xml:space="preserve">R</w:t>
      </w:r>
    </w:p>
    <w:bookmarkStart w:id="66" w:name="date2year-3"/>
    <w:p>
      <w:pPr>
        <w:pStyle w:val="Heading5"/>
      </w:pPr>
      <w:r>
        <w:rPr>
          <w:rStyle w:val="VerbatimChar"/>
        </w:rPr>
        <w:t xml:space="preserve">date2year</w:t>
      </w:r>
    </w:p>
    <w:p>
      <w:pPr>
        <w:pStyle w:val="SourceCode"/>
      </w:pPr>
      <w:r>
        <w:rPr>
          <w:rStyle w:val="NormalTok"/>
        </w:rPr>
        <w:t xml:space="preserve">date2year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date2year</w:t>
      </w:r>
      <w:r>
        <w:rPr>
          <w:rStyle w:val="NormalTok"/>
        </w:rPr>
        <w:t xml:space="preserve">()</w:t>
      </w:r>
    </w:p>
    <w:p>
      <w:pPr>
        <w:pStyle w:val="SourceCode"/>
      </w:pPr>
      <w:r>
        <w:rPr>
          <w:rStyle w:val="VerbatimChar"/>
        </w:rPr>
        <w:t xml:space="preserve">Unable to display output for mime type(s): text/html</w:t>
      </w:r>
    </w:p>
    <w:bookmarkEnd w:id="66"/>
    <w:bookmarkStart w:id="67"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67"/>
    <w:bookmarkEnd w:id="68"/>
    <w:bookmarkStart w:id="76" w:name="sec-gregl"/>
    <w:p>
      <w:pPr>
        <w:pStyle w:val="Heading3"/>
      </w:pPr>
      <w:r>
        <w:t xml:space="preserve">3.1.4 Leap years</w:t>
      </w:r>
    </w:p>
    <w:p>
      <w:pPr>
        <w:pStyle w:val="FirstParagraph"/>
      </w:pPr>
      <w:r>
        <w:t xml:space="preserve">The first day of the</w:t>
      </w:r>
      <w:r>
        <w:t xml:space="preserve"> </w:t>
      </w:r>
      <w:r>
        <w:rPr>
          <w:rStyle w:val="VerbatimChar"/>
        </w:rPr>
        <w:t xml:space="preserve">Decalendar</w:t>
      </w:r>
      <w:r>
        <w:t xml:space="preserve"> </w:t>
      </w:r>
      <w:r>
        <w:t xml:space="preserve">year,</w:t>
      </w:r>
      <w:r>
        <w:t xml:space="preserve"> </w:t>
      </w:r>
      <w:r>
        <w:rPr>
          <w:rStyle w:val="VerbatimChar"/>
        </w:rPr>
        <w:t xml:space="preserve">Day 0</w:t>
      </w:r>
      <w:r>
        <w:t xml:space="preserve">, is March 1 in the Gregorian calendar. Starting the year on March 1 positions Leap Day,</w:t>
      </w:r>
      <w:r>
        <w:t xml:space="preserve"> </w:t>
      </w:r>
      <w:r>
        <w:rPr>
          <w:rStyle w:val="VerbatimChar"/>
        </w:rPr>
        <w:t xml:space="preserve">Day 365</w:t>
      </w:r>
      <w:r>
        <w:t xml:space="preserve"> </w:t>
      </w:r>
      <w:r>
        <w:t xml:space="preserve">in</w:t>
      </w:r>
      <w:r>
        <w:t xml:space="preserve"> </w:t>
      </w:r>
      <w:r>
        <w:rPr>
          <w:rStyle w:val="VerbatimChar"/>
        </w:rPr>
        <w:t xml:space="preserve">Decalendar</w:t>
      </w:r>
      <w:r>
        <w:t xml:space="preserve"> </w:t>
      </w:r>
      <w:r>
        <w:t xml:space="preserve">and February 29 in the Gregorian calendar, at the end of the year.</w:t>
      </w:r>
      <w:r>
        <w:t xml:space="preserve"> </w:t>
      </w:r>
      <w:r>
        <w:rPr>
          <w:rStyle w:val="VerbatimChar"/>
        </w:rPr>
        <w:t xml:space="preserve">Decalendar</w:t>
      </w:r>
      <w:r>
        <w:t xml:space="preserve"> </w:t>
      </w:r>
      <w:r>
        <w:t xml:space="preserve">leap years therefore occur one year earlier than Gregorian calendar leap years. To check if a year is a</w:t>
      </w:r>
      <w:r>
        <w:t xml:space="preserve"> </w:t>
      </w:r>
      <w:r>
        <w:rPr>
          <w:rStyle w:val="VerbatimChar"/>
        </w:rPr>
        <w:t xml:space="preserve">Decalendar</w:t>
      </w:r>
      <w:r>
        <w:t xml:space="preserve"> </w:t>
      </w:r>
      <w:r>
        <w:t xml:space="preserve">leap year, we add 1 to the year and proceed with the</w:t>
      </w:r>
      <w:r>
        <w:t xml:space="preserve"> </w:t>
      </w:r>
      <w:hyperlink r:id="rId69">
        <w:r>
          <w:rPr>
            <w:rStyle w:val="VerbatimChar"/>
          </w:rPr>
          <w:t xml:space="preserve">is_leap</w:t>
        </w:r>
      </w:hyperlink>
      <w:r>
        <w:t xml:space="preserve"> </w:t>
      </w:r>
      <w:r>
        <w:t xml:space="preserve">algorithm as described by</w:t>
      </w:r>
      <w:r>
        <w:t xml:space="preserve"> </w:t>
      </w:r>
      <w:r>
        <w:t xml:space="preserve">(Hinnant 2014)</w:t>
      </w:r>
      <w:r>
        <w:t xml:space="preserve"> </w:t>
      </w:r>
      <w:r>
        <w:t xml:space="preserve">and shown in</w:t>
      </w:r>
      <w:r>
        <w:t xml:space="preserve"> </w:t>
      </w:r>
      <w:hyperlink w:anchor="eq-gregl">
        <w:r>
          <w:rPr>
            <w:rStyle w:val="Hyperlink"/>
          </w:rPr>
          <w:t xml:space="preserve">Equation 1</w:t>
        </w:r>
      </w:hyperlink>
      <w:r>
        <w:t xml:space="preserve"> </w:t>
      </w:r>
      <w:r>
        <w:t xml:space="preserve">and</w:t>
      </w:r>
      <w:r>
        <w:t xml:space="preserve"> </w:t>
      </w:r>
      <w:hyperlink w:anchor="exm-gregl">
        <w:r>
          <w:rPr>
            <w:rStyle w:val="Hyperlink"/>
          </w:rPr>
          <w:t xml:space="preserve">Example 4</w:t>
        </w:r>
      </w:hyperlink>
      <w:r>
        <w:t xml:space="preserve">.</w:t>
      </w:r>
    </w:p>
    <w:p>
      <w:pPr>
        <w:pStyle w:val="BodyText"/>
      </w:pPr>
      <w:bookmarkStart w:id="70"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70"/>
    </w:p>
    <w:bookmarkStart w:id="71" w:name="exm-gregl"/>
    <w:p>
      <w:pPr>
        <w:pStyle w:val="FirstParagraph"/>
      </w:pPr>
      <w:r>
        <w:rPr>
          <w:bCs/>
          <w:b/>
        </w:rPr>
        <w:t xml:space="preserve">Example 4</w:t>
      </w:r>
      <w:r>
        <w:rPr>
          <w:bCs/>
          <w:b/>
        </w:rPr>
        <w:t xml:space="preserve"> </w:t>
      </w:r>
      <w:r>
        <w:t xml:space="preserve"> </w:t>
      </w:r>
    </w:p>
    <w:bookmarkEnd w:id="71"/>
    <w:p>
      <w:pPr>
        <w:pStyle w:val="Heading4"/>
      </w:pPr>
      <w:r>
        <w:t xml:space="preserve">JavaScript</w:t>
      </w:r>
    </w:p>
    <w:bookmarkStart w:id="72"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rPr>
          <w:rStyle w:val="FunctionTok"/>
        </w:rPr>
        <w:t xml:space="preserve">is_leap</w:t>
      </w:r>
      <w:r>
        <w:rPr>
          <w:rStyle w:val="NormalTok"/>
        </w:rPr>
        <w:t xml:space="preserve">()</w:t>
      </w:r>
    </w:p>
    <w:p>
      <w:pPr>
        <w:pStyle w:val="SourceCode"/>
      </w:pPr>
      <w:r>
        <w:rPr>
          <w:rStyle w:val="VerbatimChar"/>
        </w:rPr>
        <w:t xml:space="preserve">false</w:t>
      </w:r>
    </w:p>
    <w:bookmarkEnd w:id="72"/>
    <w:p>
      <w:pPr>
        <w:pStyle w:val="Heading4"/>
      </w:pPr>
      <w:r>
        <w:t xml:space="preserve">Julia</w:t>
      </w:r>
    </w:p>
    <w:bookmarkStart w:id="73"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rPr>
          <w:rStyle w:val="FunctionTok"/>
        </w:rPr>
        <w:t xml:space="preserve">is_leap</w:t>
      </w:r>
      <w:r>
        <w:rPr>
          <w:rStyle w:val="NormalTok"/>
        </w:rPr>
        <w:t xml:space="preserve">()</w:t>
      </w:r>
    </w:p>
    <w:p>
      <w:pPr>
        <w:pStyle w:val="SourceCode"/>
      </w:pPr>
      <w:r>
        <w:rPr>
          <w:rStyle w:val="VerbatimChar"/>
        </w:rPr>
        <w:t xml:space="preserve">false</w:t>
      </w:r>
    </w:p>
    <w:bookmarkEnd w:id="73"/>
    <w:p>
      <w:pPr>
        <w:pStyle w:val="Heading4"/>
      </w:pPr>
      <w:r>
        <w:t xml:space="preserve">Python</w:t>
      </w:r>
    </w:p>
    <w:bookmarkStart w:id="74" w:name="leap-2"/>
    <w:p>
      <w:pPr>
        <w:pStyle w:val="Heading5"/>
      </w:pPr>
      <w:r>
        <w:rPr>
          <w:rStyle w:val="VerbatimChar"/>
        </w:rPr>
        <w:t xml:space="preserve">leap</w:t>
      </w:r>
    </w:p>
    <w:p>
      <w:pPr>
        <w:pStyle w:val="SourceCode"/>
      </w:pPr>
      <w:r>
        <w:rPr>
          <w:rStyle w:val="KeywordTok"/>
        </w:rPr>
        <w:t xml:space="preserve">def</w:t>
      </w:r>
      <w:r>
        <w:rPr>
          <w:rStyle w:val="NormalTok"/>
        </w:rPr>
        <w:t xml:space="preserve"> is_leap(year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is_leap()</w:t>
      </w:r>
    </w:p>
    <w:p>
      <w:pPr>
        <w:pStyle w:val="SourceCode"/>
      </w:pPr>
      <w:r>
        <w:rPr>
          <w:rStyle w:val="VerbatimChar"/>
        </w:rPr>
        <w:t xml:space="preserve">False</w:t>
      </w:r>
    </w:p>
    <w:bookmarkEnd w:id="74"/>
    <w:p>
      <w:pPr>
        <w:pStyle w:val="Heading4"/>
      </w:pPr>
      <w:r>
        <w:t xml:space="preserve">R</w:t>
      </w:r>
    </w:p>
    <w:bookmarkStart w:id="75" w:name="leap-3"/>
    <w:p>
      <w:pPr>
        <w:pStyle w:val="Heading5"/>
      </w:pPr>
      <w:r>
        <w:rPr>
          <w:rStyle w:val="VerbatimChar"/>
        </w:rPr>
        <w:t xml:space="preserve">leap</w:t>
      </w:r>
    </w:p>
    <w:p>
      <w:pPr>
        <w:pStyle w:val="SourceCode"/>
      </w:pPr>
      <w:r>
        <w:rPr>
          <w:rStyle w:val="NormalTok"/>
        </w:rPr>
        <w:t xml:space="preserve">is_leap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is_leap</w:t>
      </w:r>
      <w:r>
        <w:rPr>
          <w:rStyle w:val="NormalTok"/>
        </w:rPr>
        <w:t xml:space="preserve">()</w:t>
      </w:r>
    </w:p>
    <w:p>
      <w:pPr>
        <w:pStyle w:val="SourceCode"/>
      </w:pPr>
      <w:r>
        <w:rPr>
          <w:rStyle w:val="VerbatimChar"/>
        </w:rPr>
        <w:t xml:space="preserve">Unable to display output for mime type(s): text/html</w:t>
      </w:r>
    </w:p>
    <w:bookmarkEnd w:id="75"/>
    <w:bookmarkEnd w:id="76"/>
    <w:bookmarkEnd w:id="77"/>
    <w:bookmarkStart w:id="152" w:name="sec-iso"/>
    <w:p>
      <w:pPr>
        <w:pStyle w:val="Heading2"/>
      </w:pPr>
      <w:r>
        <w:t xml:space="preserve">3.2 ISO 8601</w:t>
      </w:r>
    </w:p>
    <w:bookmarkStart w:id="82" w:name="sec-isoy"/>
    <w:p>
      <w:pPr>
        <w:pStyle w:val="Heading3"/>
      </w:pPr>
      <w:r>
        <w:t xml:space="preserve">3.2.1 Years</w:t>
      </w:r>
    </w:p>
    <w:p>
      <w:pPr>
        <w:pStyle w:val="FirstParagraph"/>
      </w:pPr>
      <w:hyperlink r:id="rId78">
        <w:r>
          <w:rPr>
            <w:rStyle w:val="Hyperlink"/>
          </w:rPr>
          <w:t xml:space="preserve">ISO 8601</w:t>
        </w:r>
      </w:hyperlink>
      <w:r>
        <w:t xml:space="preserve"> </w:t>
      </w:r>
      <w:r>
        <w:t xml:space="preserve">is the</w:t>
      </w:r>
      <w:r>
        <w:t xml:space="preserve"> </w:t>
      </w:r>
      <w:hyperlink r:id="rId78">
        <w:r>
          <w:rPr>
            <w:rStyle w:val="Hyperlink"/>
          </w:rPr>
          <w:t xml:space="preserve">international standard</w:t>
        </w:r>
      </w:hyperlink>
      <w:r>
        <w:t xml:space="preserve"> </w:t>
      </w:r>
      <w:r>
        <w:t xml:space="preserve">for</w:t>
      </w:r>
      <w:r>
        <w:t xml:space="preserve"> </w:t>
      </w:r>
      <w:hyperlink r:id="rId79">
        <w:r>
          <w:rPr>
            <w:rStyle w:val="Hyperlink"/>
          </w:rPr>
          <w:t xml:space="preserve">dates</w:t>
        </w:r>
      </w:hyperlink>
      <w:r>
        <w:t xml:space="preserve"> </w:t>
      </w:r>
      <w:r>
        <w:t xml:space="preserve">and</w:t>
      </w:r>
      <w:r>
        <w:t xml:space="preserve"> </w:t>
      </w:r>
      <w:hyperlink r:id="rId80">
        <w:r>
          <w:rPr>
            <w:rStyle w:val="Hyperlink"/>
          </w:rPr>
          <w:t xml:space="preserve">times</w:t>
        </w:r>
      </w:hyperlink>
      <w:r>
        <w:t xml:space="preserve">. Both</w:t>
      </w:r>
      <w:r>
        <w:t xml:space="preserve"> </w:t>
      </w:r>
      <w:r>
        <w:rPr>
          <w:rStyle w:val="VerbatimChar"/>
        </w:rPr>
        <w:t xml:space="preserve">Decalendar</w:t>
      </w:r>
      <w:r>
        <w:t xml:space="preserve"> </w:t>
      </w:r>
      <w:r>
        <w:t xml:space="preserve">and ISO 8601 dates show</w:t>
      </w:r>
      <w:r>
        <w:t xml:space="preserve"> </w:t>
      </w:r>
      <w:hyperlink r:id="rId81">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82"/>
    <w:bookmarkStart w:id="100" w:name="sec-isoo"/>
    <w:p>
      <w:pPr>
        <w:pStyle w:val="Heading3"/>
      </w:pPr>
      <w:r>
        <w:t xml:space="preserve">3.2.2 Ordinal dates</w:t>
      </w:r>
    </w:p>
    <w:p>
      <w:pPr>
        <w:pStyle w:val="FirstParagraph"/>
      </w:pPr>
      <w:r>
        <w:rPr>
          <w:rStyle w:val="VerbatimChar"/>
        </w:rPr>
        <w:t xml:space="preserve">Decalendar</w:t>
      </w:r>
      <w:r>
        <w:t xml:space="preserve"> </w:t>
      </w:r>
      <w:r>
        <w:t xml:space="preserve">dates (</w:t>
      </w:r>
      <w:r>
        <w:rPr>
          <w:rStyle w:val="VerbatimChar"/>
        </w:rPr>
        <w:t xml:space="preserve">year+day</w:t>
      </w:r>
      <w:r>
        <w:t xml:space="preserve">) are most similar to</w:t>
      </w:r>
      <w:r>
        <w:t xml:space="preserve"> </w:t>
      </w:r>
      <w:hyperlink r:id="rId83">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w:t>
      </w:r>
      <w:r>
        <w:t xml:space="preserve"> </w:t>
      </w:r>
      <w:r>
        <w:rPr>
          <w:rStyle w:val="VerbatimChar"/>
        </w:rPr>
        <w:t xml:space="preserve">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84">
        <w:r>
          <w:rPr>
            <w:rStyle w:val="Hyperlink"/>
          </w:rPr>
          <w:t xml:space="preserve">zero-based</w:t>
        </w:r>
      </w:hyperlink>
      <w:r>
        <w:t xml:space="preserve"> </w:t>
      </w:r>
      <w:r>
        <w:t xml:space="preserve">and do not differ across common and leap years. The</w:t>
      </w:r>
      <w:r>
        <w:t xml:space="preserve"> </w:t>
      </w:r>
      <w:r>
        <w:rPr>
          <w:rStyle w:val="VerbatimChar"/>
        </w:rPr>
        <w:t xml:space="preserve">Decalendar</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while the</w:t>
      </w:r>
      <w:r>
        <w:t xml:space="preserve"> </w:t>
      </w:r>
      <w:r>
        <w:rPr>
          <w:rStyle w:val="VerbatimChar"/>
        </w:rPr>
        <w:t xml:space="preserve">isoo2year</w:t>
      </w:r>
      <w:r>
        <w:t xml:space="preserve"> </w:t>
      </w:r>
      <w:r>
        <w:t xml:space="preserve">and</w:t>
      </w:r>
      <w:r>
        <w:t xml:space="preserve"> </w:t>
      </w:r>
      <w:r>
        <w:rPr>
          <w:rStyle w:val="VerbatimChar"/>
        </w:rPr>
        <w:t xml:space="preserve">doty2year</w:t>
      </w:r>
      <w:r>
        <w:t xml:space="preserve"> </w:t>
      </w:r>
      <w:r>
        <w:t xml:space="preserve">functions adjust the year if necessary. We use the</w:t>
      </w:r>
      <w:r>
        <w:t xml:space="preserve"> </w:t>
      </w:r>
      <w:r>
        <w:rPr>
          <w:rStyle w:val="VerbatimChar"/>
        </w:rPr>
        <w:t xml:space="preserve">is_leap</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Unlike ISO 8601 ordinal day numbers,</w:t>
      </w:r>
      <w:r>
        <w:t xml:space="preserve"> </w:t>
      </w:r>
      <w:r>
        <w:rPr>
          <w:rStyle w:val="VerbatimChar"/>
        </w:rPr>
        <w:t xml:space="preserve">Decalendar</w:t>
      </w:r>
      <w:r>
        <w:t xml:space="preserve"> </w:t>
      </w:r>
      <w:r>
        <w:rPr>
          <w:rStyle w:val="VerbatimChar"/>
        </w:rPr>
        <w:t xml:space="preserve">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85"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i</m:t>
              </m:r>
              <m:r>
                <m:t>s</m:t>
              </m:r>
              <m:r>
                <m:t>l</m:t>
              </m:r>
              <m:r>
                <m:t>e</m:t>
              </m:r>
              <m:r>
                <m:t>a</m:t>
              </m:r>
              <m:r>
                <m:t>p</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85"/>
    </w:p>
    <w:p>
      <w:pPr>
        <w:pStyle w:val="FirstParagraph"/>
      </w:pPr>
      <w:bookmarkStart w:id="86" w:name="eq-isoo2"/>
      <m:oMathPara>
        <m:oMathParaPr>
          <m:jc m:val="center"/>
        </m:oMathParaPr>
        <m:oMath>
          <m:d>
            <m:dPr>
              <m:begChr m:val="("/>
              <m:endChr m:val=")"/>
              <m:sepChr m:val=""/>
              <m:grow/>
            </m:dPr>
            <m:e>
              <m:r>
                <m:t>d</m:t>
              </m:r>
              <m:r>
                <m:t>o</m:t>
              </m:r>
              <m:r>
                <m:t>t</m:t>
              </m:r>
              <m:r>
                <m:t>y</m:t>
              </m:r>
              <m:r>
                <m:rPr>
                  <m:sty m:val="p"/>
                </m:rPr>
                <m:t>+</m:t>
              </m:r>
              <m:r>
                <m:t>60</m:t>
              </m:r>
              <m:r>
                <m:rPr>
                  <m:sty m:val="p"/>
                </m:rPr>
                <m:t>+</m:t>
              </m:r>
              <m:r>
                <m:t>i</m:t>
              </m:r>
              <m:r>
                <m:t>s</m:t>
              </m:r>
              <m:r>
                <m:t>l</m:t>
              </m:r>
              <m:r>
                <m:t>e</m:t>
              </m:r>
              <m:r>
                <m:t>a</m:t>
              </m:r>
              <m:r>
                <m:t>p</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86"/>
    </w:p>
    <w:bookmarkStart w:id="87" w:name="exm-isoo"/>
    <w:p>
      <w:pPr>
        <w:pStyle w:val="FirstParagraph"/>
      </w:pPr>
      <w:r>
        <w:rPr>
          <w:bCs/>
          <w:b/>
        </w:rPr>
        <w:t xml:space="preserve">Example 5</w:t>
      </w:r>
      <w:r>
        <w:rPr>
          <w:bCs/>
          <w:b/>
        </w:rPr>
        <w:t xml:space="preserve"> </w:t>
      </w:r>
      <w:r>
        <w:t xml:space="preserve"> </w:t>
      </w:r>
    </w:p>
    <w:bookmarkEnd w:id="87"/>
    <w:p>
      <w:pPr>
        <w:pStyle w:val="Heading4"/>
      </w:pPr>
      <w:r>
        <w:t xml:space="preserve">JavaScript</w:t>
      </w:r>
    </w:p>
    <w:bookmarkStart w:id="88"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88"/>
    <w:bookmarkStart w:id="89"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isoo2year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isoo2doty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89"/>
    <w:bookmarkStart w:id="90"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doty2isoo</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1970+060</w:t>
      </w:r>
    </w:p>
    <w:bookmarkEnd w:id="90"/>
    <w:p>
      <w:pPr>
        <w:pStyle w:val="Heading4"/>
      </w:pPr>
      <w:r>
        <w:t xml:space="preserve">Julia</w:t>
      </w:r>
    </w:p>
    <w:bookmarkStart w:id="91" w:name="isoo2year-1"/>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FloatTok"/>
        </w:rPr>
        <w:t xml:space="preserve">1970</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91"/>
    <w:bookmarkStart w:id="92"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92"/>
    <w:bookmarkStart w:id="93"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93"/>
    <w:p>
      <w:pPr>
        <w:pStyle w:val="Heading4"/>
      </w:pPr>
      <w:r>
        <w:t xml:space="preserve">Python</w:t>
      </w:r>
    </w:p>
    <w:bookmarkStart w:id="94" w:name="isoo2year-2"/>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94"/>
    <w:bookmarkStart w:id="95"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95"/>
    <w:bookmarkStart w:id="96"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96"/>
    <w:p>
      <w:pPr>
        <w:pStyle w:val="Heading4"/>
      </w:pPr>
      <w:r>
        <w:t xml:space="preserve">R</w:t>
      </w:r>
    </w:p>
    <w:bookmarkStart w:id="97" w:name="isoo2year-3"/>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97"/>
    <w:bookmarkStart w:id="98"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98"/>
    <w:bookmarkStart w:id="99"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99"/>
    <w:bookmarkEnd w:id="100"/>
    <w:bookmarkStart w:id="111" w:name="sec-isoc"/>
    <w:p>
      <w:pPr>
        <w:pStyle w:val="Heading3"/>
      </w:pPr>
      <w:r>
        <w:t xml:space="preserve">3.2.3 Calendar dates</w:t>
      </w:r>
    </w:p>
    <w:p>
      <w:pPr>
        <w:pStyle w:val="FirstParagraph"/>
      </w:pPr>
      <w:r>
        <w:t xml:space="preserve">ISO 8601</w:t>
      </w:r>
      <w:r>
        <w:t xml:space="preserve"> </w:t>
      </w:r>
      <w:hyperlink r:id="rId101">
        <w:r>
          <w:rPr>
            <w:rStyle w:val="Hyperlink"/>
          </w:rPr>
          <w:t xml:space="preserve">calendar dates</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Decalendar</w:t>
      </w:r>
      <w:r>
        <w:t xml:space="preserve"> </w:t>
      </w:r>
      <w:r>
        <w:t xml:space="preserve">dates and ISO 8601 calendar dates, as shown in</w:t>
      </w:r>
      <w:r>
        <w:t xml:space="preserve"> </w:t>
      </w:r>
      <w:hyperlink w:anchor="exm-isoc">
        <w:r>
          <w:rPr>
            <w:rStyle w:val="Hyperlink"/>
          </w:rPr>
          <w:t xml:space="preserve">Example 6</w:t>
        </w:r>
      </w:hyperlink>
      <w:r>
        <w:t xml:space="preserve">. The code formats the output of the</w:t>
      </w:r>
      <w:r>
        <w:t xml:space="preserve"> </w:t>
      </w:r>
      <w:r>
        <w:rPr>
          <w:rStyle w:val="VerbatimChar"/>
        </w:rPr>
        <w:t xml:space="preserve">date2year</w:t>
      </w:r>
      <w:r>
        <w:t xml:space="preserve"> </w:t>
      </w:r>
      <w:r>
        <w:t xml:space="preserve">and</w:t>
      </w:r>
      <w:r>
        <w:t xml:space="preserve"> </w:t>
      </w:r>
      <w:r>
        <w:rPr>
          <w:rStyle w:val="VerbatimChar"/>
        </w:rPr>
        <w:t xml:space="preserve">date2doty</w:t>
      </w:r>
      <w:r>
        <w:t xml:space="preserve"> </w:t>
      </w:r>
      <w:r>
        <w:t xml:space="preserve">functions into</w:t>
      </w:r>
      <w:r>
        <w:t xml:space="preserve"> </w:t>
      </w:r>
      <w:r>
        <w:rPr>
          <w:rStyle w:val="VerbatimChar"/>
        </w:rPr>
        <w:t xml:space="preserve">Decalendar</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doty2date</w:t>
      </w:r>
      <w:r>
        <w:t xml:space="preserve"> </w:t>
      </w:r>
      <w:r>
        <w:t xml:space="preserve">functions into ISO 8601 calendar dates.</w:t>
      </w:r>
    </w:p>
    <w:p>
      <w:pPr>
        <w:pStyle w:val="BodyText"/>
      </w:pPr>
      <w:r>
        <w:t xml:space="preserve">As mentioned in</w:t>
      </w:r>
      <w:r>
        <w:t xml:space="preserve"> </w:t>
      </w:r>
      <w:hyperlink w:anchor="sec-coor">
        <w:r>
          <w:rPr>
            <w:rStyle w:val="Hyperlink"/>
          </w:rPr>
          <w:t xml:space="preserve">Section 3.1.1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 ISO 8601 calendar 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7.1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7.3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02" w:name="exm-isoc"/>
    <w:p>
      <w:pPr>
        <w:pStyle w:val="BodyText"/>
      </w:pPr>
      <w:r>
        <w:rPr>
          <w:bCs/>
          <w:b/>
        </w:rPr>
        <w:t xml:space="preserve">Example 6</w:t>
      </w:r>
      <w:r>
        <w:rPr>
          <w:bCs/>
          <w:b/>
        </w:rPr>
        <w:t xml:space="preserve"> </w:t>
      </w:r>
      <w:r>
        <w:t xml:space="preserve"> </w:t>
      </w:r>
    </w:p>
    <w:bookmarkEnd w:id="102"/>
    <w:p>
      <w:pPr>
        <w:pStyle w:val="Heading4"/>
      </w:pPr>
      <w:r>
        <w:t xml:space="preserve">JavaScript</w:t>
      </w:r>
    </w:p>
    <w:bookmarkStart w:id="103" w:name="decalendar-date"/>
    <w:p>
      <w:pPr>
        <w:pStyle w:val="Heading5"/>
      </w:pPr>
      <w:r>
        <w:rPr>
          <w:rStyle w:val="VerbatimChar"/>
        </w:rPr>
        <w:t xml:space="preserve">Decalendar</w:t>
      </w:r>
      <w:r>
        <w:t xml:space="preserve"> </w:t>
      </w:r>
      <w:r>
        <w:t xml:space="preserve">date</w:t>
      </w:r>
    </w:p>
    <w:p>
      <w:pPr>
        <w:pStyle w:val="SourceCode"/>
      </w:pP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date2year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date2doty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103"/>
    <w:bookmarkStart w:id="104" w:name="iso-8601-date"/>
    <w:p>
      <w:pPr>
        <w:pStyle w:val="Heading5"/>
      </w:pPr>
      <w:r>
        <w:t xml:space="preserve">ISO 8601 date</w:t>
      </w:r>
    </w:p>
    <w:p>
      <w:pPr>
        <w:pStyle w:val="SourceCode"/>
      </w:pP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doty2date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1970-01-01</w:t>
      </w:r>
    </w:p>
    <w:bookmarkEnd w:id="104"/>
    <w:p>
      <w:pPr>
        <w:pStyle w:val="Heading4"/>
      </w:pPr>
      <w:r>
        <w:t xml:space="preserve">Julia</w:t>
      </w:r>
    </w:p>
    <w:bookmarkStart w:id="105" w:name="decalendar-date-1"/>
    <w:p>
      <w:pPr>
        <w:pStyle w:val="Heading5"/>
      </w:pPr>
      <w:r>
        <w:rPr>
          <w:rStyle w:val="VerbatimChar"/>
        </w:rPr>
        <w:t xml:space="preserve">Decalendar</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05"/>
    <w:bookmarkStart w:id="106" w:name="iso-8601-date-1"/>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06"/>
    <w:p>
      <w:pPr>
        <w:pStyle w:val="Heading4"/>
      </w:pPr>
      <w:r>
        <w:t xml:space="preserve">Python</w:t>
      </w:r>
    </w:p>
    <w:bookmarkStart w:id="107" w:name="decalendar-date-2"/>
    <w:p>
      <w:pPr>
        <w:pStyle w:val="Heading5"/>
      </w:pPr>
      <w:r>
        <w:rPr>
          <w:rStyle w:val="VerbatimChar"/>
        </w:rPr>
        <w:t xml:space="preserve">Decalendar</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date2year()</w:t>
      </w:r>
      <w:r>
        <w:rPr>
          <w:rStyle w:val="SpecialCharTok"/>
        </w:rPr>
        <w:t xml:space="preserve">:&gt;04}</w:t>
      </w:r>
      <w:r>
        <w:rPr>
          <w:rStyle w:val="SpecialStringTok"/>
        </w:rPr>
        <w:t xml:space="preserve">+</w:t>
      </w:r>
      <w:r>
        <w:rPr>
          <w:rStyle w:val="SpecialCharTok"/>
        </w:rPr>
        <w:t xml:space="preserve">{</w:t>
      </w:r>
      <w:r>
        <w:rPr>
          <w:rStyle w:val="NormalTok"/>
        </w:rPr>
        <w:t xml:space="preserve">date2doty()</w:t>
      </w:r>
      <w:r>
        <w:rPr>
          <w:rStyle w:val="SpecialCharTok"/>
        </w:rPr>
        <w:t xml:space="preserve">:&lt;3}</w:t>
      </w:r>
      <w:r>
        <w:rPr>
          <w:rStyle w:val="SpecialStringTok"/>
        </w:rPr>
        <w:t xml:space="preserve">"</w:t>
      </w:r>
    </w:p>
    <w:p>
      <w:pPr>
        <w:pStyle w:val="SourceCode"/>
      </w:pPr>
      <w:r>
        <w:rPr>
          <w:rStyle w:val="VerbatimChar"/>
        </w:rPr>
        <w:t xml:space="preserve">'1969+306'</w:t>
      </w:r>
    </w:p>
    <w:bookmarkEnd w:id="107"/>
    <w:bookmarkStart w:id="108" w:name="iso-8601-date-2"/>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doty2date()))</w:t>
      </w:r>
      <w:r>
        <w:rPr>
          <w:rStyle w:val="SpecialCharTok"/>
        </w:rPr>
        <w:t xml:space="preserve">}</w:t>
      </w:r>
      <w:r>
        <w:rPr>
          <w:rStyle w:val="SpecialStringTok"/>
        </w:rPr>
        <w:t xml:space="preserve">"</w:t>
      </w:r>
    </w:p>
    <w:p>
      <w:pPr>
        <w:pStyle w:val="SourceCode"/>
      </w:pPr>
      <w:r>
        <w:rPr>
          <w:rStyle w:val="VerbatimChar"/>
        </w:rPr>
        <w:t xml:space="preserve">'1970-01-01'</w:t>
      </w:r>
    </w:p>
    <w:bookmarkEnd w:id="108"/>
    <w:p>
      <w:pPr>
        <w:pStyle w:val="Heading4"/>
      </w:pPr>
      <w:r>
        <w:t xml:space="preserve">R</w:t>
      </w:r>
    </w:p>
    <w:bookmarkStart w:id="109" w:name="decalendar-date-3"/>
    <w:p>
      <w:pPr>
        <w:pStyle w:val="Heading5"/>
      </w:pPr>
      <w:r>
        <w:rPr>
          <w:rStyle w:val="VerbatimChar"/>
        </w:rPr>
        <w:t xml:space="preserve">Decalendar</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date2year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date2doty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09"/>
    <w:bookmarkStart w:id="110" w:name="iso-8601-date-3"/>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doty2date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10"/>
    <w:bookmarkEnd w:id="111"/>
    <w:bookmarkStart w:id="129" w:name="sec-isot"/>
    <w:p>
      <w:pPr>
        <w:pStyle w:val="Heading3"/>
      </w:pPr>
      <w:r>
        <w:t xml:space="preserve">3.2.4 Times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112">
        <w:r>
          <w:rPr>
            <w:rStyle w:val="Hyperlink"/>
          </w:rPr>
          <w:t xml:space="preserve">fractional days</w:t>
        </w:r>
      </w:hyperlink>
      <w:r>
        <w:t xml:space="preserve"> </w:t>
      </w:r>
      <w:r>
        <w:t xml:space="preserve">(</w:t>
      </w:r>
      <w:r>
        <w:rPr>
          <w:rStyle w:val="VerbatimChar"/>
        </w:rPr>
        <w:t xml:space="preserve">.day</w:t>
      </w:r>
      <w:r>
        <w:t xml:space="preserve">). The</w:t>
      </w:r>
      <w:r>
        <w:t xml:space="preserve"> </w:t>
      </w:r>
      <w:hyperlink r:id="rId80">
        <w:r>
          <w:rPr>
            <w:rStyle w:val="Hyperlink"/>
          </w:rPr>
          <w:t xml:space="preserve">ISO 8601 time format</w:t>
        </w:r>
      </w:hyperlink>
      <w:r>
        <w:t xml:space="preserve"> </w:t>
      </w:r>
      <w:r>
        <w:t xml:space="preserve">is</w:t>
      </w:r>
      <w:r>
        <w:t xml:space="preserve"> </w:t>
      </w:r>
      <w:r>
        <w:rPr>
          <w:rStyle w:val="VerbatimChar"/>
        </w:rPr>
        <w:t xml:space="preserve">hh:mm:ss</w:t>
      </w:r>
      <w:r>
        <w:t xml:space="preserve">. Both</w:t>
      </w:r>
      <w:r>
        <w:t xml:space="preserve"> </w:t>
      </w:r>
      <w:r>
        <w:rPr>
          <w:rStyle w:val="VerbatimChar"/>
        </w:rPr>
        <w:t xml:space="preserve">Declock</w:t>
      </w:r>
      <w:r>
        <w:t xml:space="preserve"> </w:t>
      </w:r>
      <w:r>
        <w:t xml:space="preserve">and ISO 8601 times can be appended to dates to form timestamps.</w:t>
      </w:r>
      <w:r>
        <w:t xml:space="preserve"> </w:t>
      </w:r>
      <w:r>
        <w:rPr>
          <w:rStyle w:val="VerbatimChar"/>
        </w:rPr>
        <w:t xml:space="preserve">Decalendar</w:t>
      </w:r>
      <w:r>
        <w:t xml:space="preserve"> </w:t>
      </w:r>
      <w:r>
        <w:t xml:space="preserve">timestamps are more concise and easier to read than ISO 8601 timestamps.</w:t>
      </w:r>
    </w:p>
    <w:p>
      <w:pPr>
        <w:pStyle w:val="BodyText"/>
      </w:pPr>
      <w:r>
        <w:t xml:space="preserve">An ISO 8601 calendar date timestamp that includes seconds is 19 characters long (</w:t>
      </w:r>
      <w:r>
        <w:rPr>
          <w:rStyle w:val="VerbatimChar"/>
        </w:rPr>
        <w:t xml:space="preserve">year-mm-ddThh:mm:ss</w:t>
      </w:r>
      <w:r>
        <w:t xml:space="preserve">), while a</w:t>
      </w:r>
      <w:r>
        <w:t xml:space="preserve"> </w:t>
      </w:r>
      <w:r>
        <w:rPr>
          <w:rStyle w:val="VerbatimChar"/>
        </w:rPr>
        <w:t xml:space="preserve">Decalendar</w:t>
      </w:r>
      <w:r>
        <w:t xml:space="preserve"> </w:t>
      </w:r>
      <w:r>
        <w:t xml:space="preserve">timestamp with slightly greater precision is only 14 characters long (</w:t>
      </w:r>
      <w:r>
        <w:rPr>
          <w:rStyle w:val="VerbatimChar"/>
        </w:rPr>
        <w:t xml:space="preserve">year+day.ddddd</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w:t>
      </w:r>
      <w:r>
        <w:t xml:space="preserve">). Without delimiters, ISO 8601 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isot1">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isot1">
        <w:r>
          <w:rPr>
            <w:rStyle w:val="Hyperlink"/>
          </w:rPr>
          <w:t xml:space="preserve">Equation 4</w:t>
        </w:r>
      </w:hyperlink>
      <w:r>
        <w:t xml:space="preserve"> </w:t>
      </w:r>
      <w:r>
        <w:t xml:space="preserve">can be modified to obtain different units, which are displayed in</w:t>
      </w:r>
      <w:r>
        <w:t xml:space="preserve"> </w:t>
      </w:r>
      <w:hyperlink w:anchor="tbl-isot">
        <w:r>
          <w:rPr>
            <w:rStyle w:val="Hyperlink"/>
          </w:rPr>
          <w:t xml:space="preserve">Table 4</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isot2">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4</w:t>
        </w:r>
      </w:hyperlink>
      <w:r>
        <w:t xml:space="preserve">. Then, we convert hours into minutes with</w:t>
      </w:r>
      <w:r>
        <w:t xml:space="preserve"> </w:t>
      </w:r>
      <w:hyperlink w:anchor="eq-isot3">
        <w:r>
          <w:rPr>
            <w:rStyle w:val="Hyperlink"/>
          </w:rPr>
          <w:t xml:space="preserve">Equation 6</w:t>
        </w:r>
      </w:hyperlink>
      <w:r>
        <w:t xml:space="preserve"> </w:t>
      </w:r>
      <w:r>
        <w:t xml:space="preserve">and minutes into seconds with</w:t>
      </w:r>
      <w:r>
        <w:t xml:space="preserve"> </w:t>
      </w:r>
      <w:hyperlink w:anchor="eq-isot4">
        <w:r>
          <w:rPr>
            <w:rStyle w:val="Hyperlink"/>
          </w:rPr>
          <w:t xml:space="preserve">Equation 7</w:t>
        </w:r>
      </w:hyperlink>
      <w:r>
        <w:t xml:space="preserve">.</w:t>
      </w:r>
    </w:p>
    <w:p>
      <w:pPr>
        <w:pStyle w:val="BodyText"/>
      </w:pPr>
      <w:bookmarkStart w:id="113" w:name="eq-isot1"/>
      <m:oMathPara>
        <m:oMathParaPr>
          <m:jc m:val="center"/>
        </m:oMathParaPr>
        <m:oMath>
          <m:r>
            <m:t>d</m:t>
          </m:r>
          <m:r>
            <m:t>e</m:t>
          </m:r>
          <m:r>
            <m:t>c</m:t>
          </m:r>
          <m:r>
            <m:t>l</m:t>
          </m:r>
          <m:r>
            <m:t>o</m:t>
          </m:r>
          <m:r>
            <m:t>c</m:t>
          </m:r>
          <m:r>
            <m:t>k</m:t>
          </m:r>
          <m:r>
            <m:rPr>
              <m:sty m:val="p"/>
            </m:rPr>
            <m:t>=</m:t>
          </m:r>
          <m:f>
            <m:fPr>
              <m:type m:val="bar"/>
            </m:fPr>
            <m:num>
              <m:r>
                <m:t>h</m:t>
              </m:r>
              <m:r>
                <m:t>o</m:t>
              </m:r>
              <m:r>
                <m:t>u</m:t>
              </m:r>
              <m:r>
                <m:t>r</m:t>
              </m:r>
              <m:r>
                <m:t>s</m:t>
              </m:r>
            </m:num>
            <m:den>
              <m:r>
                <m:t>24</m:t>
              </m:r>
            </m:den>
          </m:f>
          <m:r>
            <m:rPr>
              <m:sty m:val="p"/>
            </m:rPr>
            <m:t>+</m:t>
          </m:r>
          <m:f>
            <m:fPr>
              <m:type m:val="bar"/>
            </m:fPr>
            <m:num>
              <m:r>
                <m:t>m</m:t>
              </m:r>
              <m:r>
                <m:t>i</m:t>
              </m:r>
              <m:r>
                <m:t>n</m:t>
              </m:r>
              <m:r>
                <m:t>u</m:t>
              </m:r>
              <m:r>
                <m:t>t</m:t>
              </m:r>
              <m:r>
                <m:t>e</m:t>
              </m:r>
              <m:r>
                <m:t>s</m:t>
              </m:r>
            </m:num>
            <m:den>
              <m:r>
                <m:t>1440</m:t>
              </m:r>
            </m:den>
          </m:f>
          <m:r>
            <m:rPr>
              <m:sty m:val="p"/>
            </m:rPr>
            <m:t>+</m:t>
          </m:r>
          <m:f>
            <m:fPr>
              <m:type m:val="bar"/>
            </m:fPr>
            <m:num>
              <m:r>
                <m:t>s</m:t>
              </m:r>
              <m:r>
                <m:t>e</m:t>
              </m:r>
              <m:r>
                <m:t>c</m:t>
              </m:r>
              <m:r>
                <m:t>o</m:t>
              </m:r>
              <m:r>
                <m:t>n</m:t>
              </m:r>
              <m:r>
                <m:t>d</m:t>
              </m:r>
              <m:r>
                <m:t>s</m:t>
              </m:r>
            </m:num>
            <m:den>
              <m:r>
                <m:t>86400</m:t>
              </m:r>
            </m:den>
          </m:f>
          <m:r>
            <m:rPr>
              <m:sty m:val="p"/>
            </m:rPr>
            <m:t>⋅</m:t>
          </m:r>
          <m:sSup>
            <m:e>
              <m:r>
                <m:t>10</m:t>
              </m:r>
            </m:e>
            <m:sup>
              <m:r>
                <m:t>x</m:t>
              </m:r>
            </m:sup>
          </m:sSup>
          <m:r>
            <m:t>  </m:t>
          </m:r>
          <m:d>
            <m:dPr>
              <m:begChr m:val="("/>
              <m:endChr m:val=")"/>
              <m:sepChr m:val=""/>
              <m:grow/>
            </m:dPr>
            <m:e>
              <m:r>
                <m:t>4</m:t>
              </m:r>
            </m:e>
          </m:d>
        </m:oMath>
      </m:oMathPara>
      <w:bookmarkEnd w:id="113"/>
    </w:p>
    <w:p>
      <w:pPr>
        <w:pStyle w:val="FirstParagraph"/>
      </w:pPr>
      <w:bookmarkStart w:id="114" w:name="eq-isot2"/>
      <m:oMathPara>
        <m:oMathParaPr>
          <m:jc m:val="center"/>
        </m:oMathParaPr>
        <m:oMath>
          <m:r>
            <m:t>h</m:t>
          </m:r>
          <m:r>
            <m:t>o</m:t>
          </m:r>
          <m:r>
            <m:t>u</m:t>
          </m:r>
          <m:r>
            <m:t>r</m:t>
          </m:r>
          <m:r>
            <m:t>s</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14"/>
    </w:p>
    <w:p>
      <w:pPr>
        <w:pStyle w:val="FirstParagraph"/>
      </w:pPr>
      <w:bookmarkStart w:id="115" w:name="eq-isot3"/>
      <m:oMathPara>
        <m:oMathParaPr>
          <m:jc m:val="center"/>
        </m:oMathParaPr>
        <m:oMath>
          <m:r>
            <m:t>m</m:t>
          </m:r>
          <m:r>
            <m:t>i</m:t>
          </m:r>
          <m:r>
            <m:t>n</m:t>
          </m:r>
          <m:r>
            <m:t>u</m:t>
          </m:r>
          <m:r>
            <m:t>t</m:t>
          </m:r>
          <m:r>
            <m:t>e</m:t>
          </m:r>
          <m:r>
            <m:t>s</m:t>
          </m:r>
          <m:r>
            <m:rPr>
              <m:sty m:val="p"/>
            </m:rPr>
            <m:t>=</m:t>
          </m:r>
          <m:f>
            <m:fPr>
              <m:type m:val="bar"/>
            </m:fPr>
            <m:num>
              <m:r>
                <m:t>h</m:t>
              </m:r>
              <m:r>
                <m:t>o</m:t>
              </m:r>
              <m:r>
                <m:t>u</m:t>
              </m:r>
              <m:r>
                <m:t>r</m:t>
              </m:r>
              <m:r>
                <m:t>s</m:t>
              </m:r>
              <m:r>
                <m:rPr>
                  <m:sty m:val="p"/>
                </m:rPr>
                <m:t>−</m:t>
              </m:r>
              <m:r>
                <m:rPr>
                  <m:sty m:val="p"/>
                </m:rPr>
                <m:t>⌊</m:t>
              </m:r>
              <m:r>
                <m:t>h</m:t>
              </m:r>
              <m:r>
                <m:t>o</m:t>
              </m:r>
              <m:r>
                <m:t>u</m:t>
              </m:r>
              <m:r>
                <m:t>r</m:t>
              </m:r>
              <m:r>
                <m:t>s</m:t>
              </m:r>
              <m:r>
                <m:rPr>
                  <m:sty m:val="p"/>
                </m:rPr>
                <m:t>⌋</m:t>
              </m:r>
            </m:num>
            <m:den>
              <m:r>
                <m:t>60</m:t>
              </m:r>
            </m:den>
          </m:f>
          <m:r>
            <m:t>  </m:t>
          </m:r>
          <m:d>
            <m:dPr>
              <m:begChr m:val="("/>
              <m:endChr m:val=")"/>
              <m:sepChr m:val=""/>
              <m:grow/>
            </m:dPr>
            <m:e>
              <m:r>
                <m:t>6</m:t>
              </m:r>
            </m:e>
          </m:d>
        </m:oMath>
      </m:oMathPara>
      <w:bookmarkEnd w:id="115"/>
    </w:p>
    <w:p>
      <w:pPr>
        <w:pStyle w:val="FirstParagraph"/>
      </w:pPr>
      <w:bookmarkStart w:id="116" w:name="eq-isot4"/>
      <m:oMathPara>
        <m:oMathParaPr>
          <m:jc m:val="center"/>
        </m:oMathParaPr>
        <m:oMath>
          <m:r>
            <m:t>s</m:t>
          </m:r>
          <m:r>
            <m:t>e</m:t>
          </m:r>
          <m:r>
            <m:t>c</m:t>
          </m:r>
          <m:r>
            <m:t>o</m:t>
          </m:r>
          <m:r>
            <m:t>n</m:t>
          </m:r>
          <m:r>
            <m:t>d</m:t>
          </m:r>
          <m:r>
            <m:t>s</m:t>
          </m:r>
          <m:r>
            <m:rPr>
              <m:sty m:val="p"/>
            </m:rPr>
            <m:t>=</m:t>
          </m:r>
          <m:f>
            <m:fPr>
              <m:type m:val="bar"/>
            </m:fPr>
            <m:num>
              <m:r>
                <m:t>m</m:t>
              </m:r>
              <m:r>
                <m:t>i</m:t>
              </m:r>
              <m:r>
                <m:t>n</m:t>
              </m:r>
              <m:r>
                <m:t>u</m:t>
              </m:r>
              <m:r>
                <m:t>t</m:t>
              </m:r>
              <m:r>
                <m:t>e</m:t>
              </m:r>
              <m:r>
                <m:t>s</m:t>
              </m:r>
              <m:r>
                <m:rPr>
                  <m:sty m:val="p"/>
                </m:rPr>
                <m:t>−</m:t>
              </m:r>
              <m:r>
                <m:rPr>
                  <m:sty m:val="p"/>
                </m:rPr>
                <m:t>⌊</m:t>
              </m:r>
              <m:r>
                <m:t>m</m:t>
              </m:r>
              <m:r>
                <m:t>i</m:t>
              </m:r>
              <m:r>
                <m:t>n</m:t>
              </m:r>
              <m:r>
                <m:t>u</m:t>
              </m:r>
              <m:r>
                <m:t>t</m:t>
              </m:r>
              <m:r>
                <m:t>e</m:t>
              </m:r>
              <m:r>
                <m:t>s</m:t>
              </m:r>
              <m:r>
                <m:rPr>
                  <m:sty m:val="p"/>
                </m:rPr>
                <m:t>⌋</m:t>
              </m:r>
            </m:num>
            <m:den>
              <m:r>
                <m:t>60</m:t>
              </m:r>
            </m:den>
          </m:f>
          <m:r>
            <m:t>  </m:t>
          </m:r>
          <m:d>
            <m:dPr>
              <m:begChr m:val="("/>
              <m:endChr m:val=")"/>
              <m:sepChr m:val=""/>
              <m:grow/>
            </m:dPr>
            <m:e>
              <m:r>
                <m:t>7</m:t>
              </m:r>
            </m:e>
          </m:d>
        </m:oMath>
      </m:oMathPara>
      <w:bookmarkEnd w:id="116"/>
    </w:p>
    <w:bookmarkStart w:id="119" w:name="tbl-isot"/>
    <w:p>
      <w:pPr>
        <w:pStyle w:val="Heading4"/>
      </w:pPr>
      <w:hyperlink w:anchor="tbl-isot">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17" w:name="tbl-isot"/>
          <w:p>
            <w:pPr>
              <w:pStyle w:val="TableCaption"/>
            </w:pPr>
            <w:r>
              <w:t xml:space="preserve">Table 4: The powers of ten of units based on days</w:t>
            </w:r>
          </w:p>
          <w:tbl>
            <w:tblPr>
              <w:tblStyle w:val="Table"/>
              <w:tblW w:type="auto" w:w="0"/>
              <w:tblLook w:firstRow="1" w:lastRow="0" w:firstColumn="0" w:lastColumn="0" w:noHBand="0" w:noVBand="0" w:val="0020"/>
              <w:jc w:val="start"/>
              <w:tblCaption w:val="Table 4: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17"/>
        </w:tc>
      </w:tr>
    </w:tbl>
    <w:p>
      <w:pPr>
        <w:pStyle w:val="BodyText"/>
      </w:pPr>
      <w:r>
        <w:t xml:space="preserve">The</w:t>
      </w:r>
      <w:r>
        <w:t xml:space="preserve"> </w:t>
      </w:r>
      <w:r>
        <w:rPr>
          <w:rStyle w:val="VerbatimChar"/>
        </w:rPr>
        <w:t xml:space="preserve">time2doty</w:t>
      </w:r>
      <w:r>
        <w:t xml:space="preserve"> </w:t>
      </w:r>
      <w:r>
        <w:t xml:space="preserve">and</w:t>
      </w:r>
      <w:r>
        <w:t xml:space="preserve"> </w:t>
      </w:r>
      <w:r>
        <w:rPr>
          <w:rStyle w:val="VerbatimChar"/>
        </w:rPr>
        <w:t xml:space="preserve">doty2time</w:t>
      </w:r>
      <w:r>
        <w:t xml:space="preserve"> </w:t>
      </w:r>
      <w:r>
        <w:t xml:space="preserve">functions in</w:t>
      </w:r>
      <w:r>
        <w:t xml:space="preserve"> </w:t>
      </w:r>
      <w:hyperlink w:anchor="exm-isot">
        <w:r>
          <w:rPr>
            <w:rStyle w:val="Hyperlink"/>
          </w:rPr>
          <w:t xml:space="preserve">Example 7</w:t>
        </w:r>
      </w:hyperlink>
      <w:r>
        <w:t xml:space="preserve"> </w:t>
      </w:r>
      <w:r>
        <w:t xml:space="preserve">convert between standard time and</w:t>
      </w:r>
      <w:r>
        <w:t xml:space="preserve"> </w:t>
      </w:r>
      <w:r>
        <w:rPr>
          <w:rStyle w:val="VerbatimChar"/>
        </w:rPr>
        <w:t xml:space="preserve">Declock</w:t>
      </w:r>
      <w:r>
        <w:t xml:space="preserve"> </w:t>
      </w:r>
      <w:r>
        <w:t xml:space="preserve">time. To create a</w:t>
      </w:r>
      <w:r>
        <w:t xml:space="preserve"> </w:t>
      </w:r>
      <w:r>
        <w:rPr>
          <w:rStyle w:val="VerbatimChar"/>
        </w:rPr>
        <w:t xml:space="preserve">Decalendar</w:t>
      </w:r>
      <w:r>
        <w:t xml:space="preserve"> </w:t>
      </w:r>
      <w:r>
        <w:t xml:space="preserve">timestamp, we can use the</w:t>
      </w:r>
      <w:r>
        <w:t xml:space="preserve"> </w:t>
      </w:r>
      <w:r>
        <w:rPr>
          <w:rStyle w:val="VerbatimChar"/>
        </w:rPr>
        <w:t xml:space="preserve">date2year</w:t>
      </w:r>
      <w:r>
        <w:t xml:space="preserve">,</w:t>
      </w:r>
      <w:r>
        <w:t xml:space="preserve"> </w:t>
      </w:r>
      <w:r>
        <w:rPr>
          <w:rStyle w:val="VerbatimChar"/>
        </w:rPr>
        <w:t xml:space="preserve">date2doty</w:t>
      </w:r>
      <w:r>
        <w:t xml:space="preserve">, and</w:t>
      </w:r>
      <w:r>
        <w:t xml:space="preserve"> </w:t>
      </w:r>
      <w:r>
        <w:rPr>
          <w:rStyle w:val="VerbatimChar"/>
        </w:rPr>
        <w:t xml:space="preserve">time2doty</w:t>
      </w:r>
      <w:r>
        <w:t xml:space="preserve"> </w:t>
      </w:r>
      <w:r>
        <w:t xml:space="preserve">functions as shown in</w:t>
      </w:r>
      <w:r>
        <w:t xml:space="preserve"> </w:t>
      </w:r>
      <w:hyperlink w:anchor="exm-isot">
        <w:r>
          <w:rPr>
            <w:rStyle w:val="Hyperlink"/>
          </w:rPr>
          <w:t xml:space="preserve">Example 7</w:t>
        </w:r>
      </w:hyperlink>
      <w:r>
        <w:t xml:space="preserve">. Similarly,</w:t>
      </w:r>
      <w:r>
        <w:t xml:space="preserve"> </w:t>
      </w:r>
      <w:hyperlink w:anchor="exm-isot">
        <w:r>
          <w:rPr>
            <w:rStyle w:val="Hyperlink"/>
          </w:rPr>
          <w:t xml:space="preserve">Example 7</w:t>
        </w:r>
      </w:hyperlink>
      <w:r>
        <w:t xml:space="preserve"> </w:t>
      </w:r>
      <w:r>
        <w:t xml:space="preserve">also shows how to create an ISO 8601 calendar date timestamp with the</w:t>
      </w:r>
      <w:r>
        <w:t xml:space="preserve"> </w:t>
      </w:r>
      <w:r>
        <w:rPr>
          <w:rStyle w:val="VerbatimChar"/>
        </w:rPr>
        <w:t xml:space="preserve">doty2year</w:t>
      </w:r>
      <w:r>
        <w:t xml:space="preserve">,</w:t>
      </w:r>
      <w:r>
        <w:t xml:space="preserve"> </w:t>
      </w:r>
      <w:r>
        <w:rPr>
          <w:rStyle w:val="VerbatimChar"/>
        </w:rPr>
        <w:t xml:space="preserve">doty2date</w:t>
      </w:r>
      <w:r>
        <w:t xml:space="preserve">, and</w:t>
      </w:r>
      <w:r>
        <w:t xml:space="preserve"> </w:t>
      </w:r>
      <w:r>
        <w:rPr>
          <w:rStyle w:val="VerbatimChar"/>
        </w:rPr>
        <w:t xml:space="preserve">doty2time</w:t>
      </w:r>
      <w:r>
        <w:t xml:space="preserve"> </w:t>
      </w:r>
      <w:r>
        <w:t xml:space="preserve">functions.</w:t>
      </w:r>
    </w:p>
    <w:bookmarkStart w:id="118" w:name="exm-isot"/>
    <w:p>
      <w:pPr>
        <w:pStyle w:val="BodyText"/>
      </w:pPr>
      <w:r>
        <w:rPr>
          <w:bCs/>
          <w:b/>
        </w:rPr>
        <w:t xml:space="preserve">Example 7</w:t>
      </w:r>
      <w:r>
        <w:rPr>
          <w:bCs/>
          <w:b/>
        </w:rPr>
        <w:t xml:space="preserve"> </w:t>
      </w:r>
      <w:r>
        <w:t xml:space="preserve"> </w:t>
      </w:r>
    </w:p>
    <w:bookmarkEnd w:id="118"/>
    <w:bookmarkEnd w:id="119"/>
    <w:p>
      <w:pPr>
        <w:pStyle w:val="Heading4"/>
      </w:pPr>
      <w:r>
        <w:t xml:space="preserve">JavaScript</w:t>
      </w:r>
    </w:p>
    <w:bookmarkStart w:id="120" w:name="time2doty"/>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w:t>
      </w:r>
      <w:r>
        <w:rPr>
          <w:rStyle w:val="SpecialCharTok"/>
        </w:rPr>
        <w:t xml:space="preserve">${</w:t>
      </w:r>
      <w:r>
        <w:rPr>
          <w:rStyle w:val="FunctionTok"/>
        </w:rPr>
        <w:t xml:space="preserve">date2year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date2doty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p>
    <w:p>
      <w:pPr>
        <w:pStyle w:val="SourceCode"/>
      </w:pPr>
      <w:r>
        <w:rPr>
          <w:rStyle w:val="VerbatimChar"/>
        </w:rPr>
        <w:t xml:space="preserve">1969+306.00000</w:t>
      </w:r>
    </w:p>
    <w:bookmarkEnd w:id="120"/>
    <w:bookmarkStart w:id="121" w:name="doty2time"/>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br/>
      </w:r>
      <w:r>
        <w:rPr>
          <w:rStyle w:val="NormalTok"/>
        </w:rPr>
        <w:t xml:space="preserve">    </w:t>
      </w:r>
      <w:r>
        <w:rPr>
          <w:rStyle w:val="KeywordTok"/>
        </w:rPr>
        <w:t xml:space="preserve">const</w:t>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(hours)</w:t>
      </w:r>
      <w:r>
        <w:rPr>
          <w:rStyle w:val="OperatorTok"/>
        </w:rPr>
        <w:t xml:space="preserve">,</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(minutes)</w:t>
      </w:r>
      <w:r>
        <w:rPr>
          <w:rStyle w:val="OperatorTok"/>
        </w:rPr>
        <w:t xml:space="preserve">;</w:t>
      </w:r>
      <w:r>
        <w:br/>
      </w:r>
      <w:r>
        <w:rPr>
          <w:rStyle w:val="NormalTok"/>
        </w:rPr>
        <w:t xml:space="preserve">        </w:t>
      </w:r>
      <w:r>
        <w:rPr>
          <w:rStyle w:val="ControlFlowTok"/>
        </w:rPr>
        <w:t xml:space="preserve">return</w:t>
      </w:r>
      <w:r>
        <w:rPr>
          <w:rStyle w:val="NormalTok"/>
        </w:rPr>
        <w:t xml:space="preserve"> [floorHours</w:t>
      </w:r>
      <w:r>
        <w:rPr>
          <w:rStyle w:val="OperatorTok"/>
        </w:rPr>
        <w:t xml:space="preserve">,</w:t>
      </w:r>
      <w:r>
        <w:rPr>
          <w:rStyle w:val="NormalTok"/>
        </w:rPr>
        <w:t xml:space="preserve"> floorMinutes</w:t>
      </w:r>
      <w:r>
        <w:rPr>
          <w:rStyle w:val="OperatorTok"/>
        </w:rPr>
        <w:t xml:space="preserve">,</w:t>
      </w:r>
      <w:r>
        <w:rPr>
          <w:rStyle w:val="NormalTok"/>
        </w:rPr>
        <w:t xml:space="preserve">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doty2date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T</w:t>
      </w:r>
      <w:r>
        <w:rPr>
          <w:rStyle w:val="SpecialCharTok"/>
        </w:rPr>
        <w:t xml:space="preserve">${</w:t>
      </w:r>
      <w:r>
        <w:rPr>
          <w:rStyle w:val="FunctionTok"/>
        </w:rPr>
        <w:t xml:space="preserve">doty2time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NormalTok"/>
        </w:rPr>
        <w:t xml:space="preserve">)</w:t>
      </w:r>
    </w:p>
    <w:p>
      <w:pPr>
        <w:pStyle w:val="SourceCode"/>
      </w:pPr>
      <w:r>
        <w:rPr>
          <w:rStyle w:val="VerbatimChar"/>
        </w:rPr>
        <w:t xml:space="preserve">1970+01-01T01:00:00</w:t>
      </w:r>
    </w:p>
    <w:bookmarkEnd w:id="121"/>
    <w:p>
      <w:pPr>
        <w:pStyle w:val="Heading4"/>
      </w:pPr>
      <w:r>
        <w:t xml:space="preserve">Julia</w:t>
      </w:r>
    </w:p>
    <w:bookmarkStart w:id="122" w:name="time"/>
    <w:p>
      <w:pPr>
        <w:pStyle w:val="Heading5"/>
      </w:pPr>
      <w:r>
        <w:rPr>
          <w:rStyle w:val="VerbatimChar"/>
        </w:rPr>
        <w:t xml:space="preserve">time</w:t>
      </w:r>
    </w:p>
    <w:bookmarkEnd w:id="122"/>
    <w:bookmarkStart w:id="123" w:name="time2doty-1"/>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w:t>
      </w:r>
      <w:r>
        <w:rPr>
          <w:rStyle w:val="OperatorTok"/>
        </w:rPr>
        <w:t xml:space="preserve">=</w:t>
      </w:r>
      <w:r>
        <w:rPr>
          <w:rStyle w:val="FloatTok"/>
        </w:rPr>
        <w:t xml:space="preserve">1</w:t>
      </w:r>
      <w:r>
        <w:rPr>
          <w:rStyle w:val="NormalTok"/>
        </w:rPr>
        <w:t xml:space="preserve">, minutes</w:t>
      </w:r>
      <w:r>
        <w:rPr>
          <w:rStyle w:val="OperatorTok"/>
        </w:rPr>
        <w:t xml:space="preserve">=</w:t>
      </w:r>
      <w:r>
        <w:rPr>
          <w:rStyle w:val="FloatTok"/>
        </w:rPr>
        <w:t xml:space="preserve">0</w:t>
      </w:r>
      <w:r>
        <w:rPr>
          <w:rStyle w:val="NormalTok"/>
        </w:rPr>
        <w:t xml:space="preserve">, seconds</w:t>
      </w:r>
      <w:r>
        <w:rPr>
          <w:rStyle w:val="OperatorTok"/>
        </w:rPr>
        <w:t xml:space="preserve">=</w:t>
      </w:r>
      <w:r>
        <w:rPr>
          <w:rStyle w:val="FloatTok"/>
        </w:rPr>
        <w:t xml:space="preserve">0</w:t>
      </w:r>
      <w:r>
        <w:rPr>
          <w:rStyle w:val="NormalTok"/>
        </w:rPr>
        <w:t xml:space="preserve">)</w:t>
      </w:r>
      <w:r>
        <w:br/>
      </w:r>
      <w:r>
        <w:rPr>
          <w:rStyle w:val="NormalTok"/>
        </w:rPr>
        <w:t xml:space="preserve">    hours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br/>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Float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"1969+306.00000)"</w:t>
      </w:r>
    </w:p>
    <w:bookmarkEnd w:id="123"/>
    <w:bookmarkStart w:id="124" w:name="doty2time-1"/>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floorHours </w:t>
      </w:r>
      <w:r>
        <w:rPr>
          <w:rStyle w:val="OperatorTok"/>
        </w:rPr>
        <w:t xml:space="preserve">=</w:t>
      </w:r>
      <w:r>
        <w:rPr>
          <w:rStyle w:val="NormalTok"/>
        </w:rPr>
        <w:t xml:space="preserve"> </w:t>
      </w:r>
      <w:r>
        <w:rPr>
          <w:rStyle w:val="FunctionTok"/>
        </w:rPr>
        <w:t xml:space="preserve">floor</w:t>
      </w:r>
      <w:r>
        <w:rPr>
          <w:rStyle w:val="NormalTok"/>
        </w:rPr>
        <w:t xml:space="preserve">(hours)</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FloatTok"/>
        </w:rPr>
        <w:t xml:space="preserve">60</w:t>
      </w:r>
      <w:r>
        <w:br/>
      </w:r>
      <w:r>
        <w:rPr>
          <w:rStyle w:val="NormalTok"/>
        </w:rPr>
        <w:t xml:space="preserve">    floorMinutes </w:t>
      </w:r>
      <w:r>
        <w:rPr>
          <w:rStyle w:val="OperatorTok"/>
        </w:rPr>
        <w:t xml:space="preserve">=</w:t>
      </w:r>
      <w:r>
        <w:rPr>
          <w:rStyle w:val="NormalTok"/>
        </w:rPr>
        <w:t xml:space="preserve"> </w:t>
      </w:r>
      <w:r>
        <w:rPr>
          <w:rStyle w:val="FunctionTok"/>
        </w:rPr>
        <w:t xml:space="preserve">floor</w:t>
      </w:r>
      <w:r>
        <w:rPr>
          <w:rStyle w:val="NormalTok"/>
        </w:rPr>
        <w:t xml:space="preserve">(minutes)</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T</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doty2time</w:t>
      </w:r>
      <w:r>
        <w:rPr>
          <w:rStyle w:val="NormalTok"/>
        </w:rPr>
        <w:t xml:space="preserve">(</w:t>
      </w:r>
      <w:r>
        <w:rPr>
          <w:rStyle w:val="FloatTok"/>
        </w:rPr>
        <w:t xml:space="preserve">0</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"1970-01-01T00:00:00)"</w:t>
      </w:r>
    </w:p>
    <w:bookmarkEnd w:id="124"/>
    <w:p>
      <w:pPr>
        <w:pStyle w:val="Heading4"/>
      </w:pPr>
      <w:r>
        <w:t xml:space="preserve">Python</w:t>
      </w:r>
    </w:p>
    <w:bookmarkStart w:id="125" w:name="time2doty-2"/>
    <w:p>
      <w:pPr>
        <w:pStyle w:val="Heading5"/>
      </w:pPr>
      <w:r>
        <w:rPr>
          <w:rStyle w:val="VerbatimChar"/>
        </w:rPr>
        <w:t xml:space="preserve">time2doty</w:t>
      </w:r>
    </w:p>
    <w:p>
      <w:pPr>
        <w:pStyle w:val="SourceCode"/>
      </w:pPr>
      <w:r>
        <w:rPr>
          <w:rStyle w:val="KeywordTok"/>
        </w:rPr>
        <w:t xml:space="preserve">def</w:t>
      </w:r>
      <w:r>
        <w:rPr>
          <w:rStyle w:val="NormalTok"/>
        </w:rPr>
        <w:t xml:space="preserve"> time2doty(hours</w:t>
      </w:r>
      <w:r>
        <w:rPr>
          <w:rStyle w:val="OperatorTok"/>
        </w:rPr>
        <w:t xml:space="preserve">=</w:t>
      </w:r>
      <w:r>
        <w:rPr>
          <w:rStyle w:val="DecValTok"/>
        </w:rPr>
        <w:t xml:space="preserve">1</w:t>
      </w:r>
      <w:r>
        <w:rPr>
          <w:rStyle w:val="NormalTok"/>
        </w:rPr>
        <w:t xml:space="preserve">, minutes</w:t>
      </w:r>
      <w:r>
        <w:rPr>
          <w:rStyle w:val="OperatorTok"/>
        </w:rPr>
        <w:t xml:space="preserve">=</w:t>
      </w:r>
      <w:r>
        <w:rPr>
          <w:rStyle w:val="DecValTok"/>
        </w:rPr>
        <w:t xml:space="preserve">0</w:t>
      </w:r>
      <w:r>
        <w:rPr>
          <w:rStyle w:val="NormalTok"/>
        </w:rPr>
        <w:t xml:space="preserve">, seconds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86400</w:t>
      </w:r>
      <w:r>
        <w:br/>
      </w:r>
      <w:r>
        <w:br/>
      </w:r>
      <w:r>
        <w:rPr>
          <w:rStyle w:val="SpecialStringTok"/>
        </w:rPr>
        <w:t xml:space="preserve">f"</w:t>
      </w:r>
      <w:r>
        <w:rPr>
          <w:rStyle w:val="SpecialCharTok"/>
        </w:rPr>
        <w:t xml:space="preserve">{</w:t>
      </w:r>
      <w:r>
        <w:rPr>
          <w:rStyle w:val="NormalTok"/>
        </w:rPr>
        <w:t xml:space="preserve">date2year()</w:t>
      </w:r>
      <w:r>
        <w:rPr>
          <w:rStyle w:val="SpecialCharTok"/>
        </w:rPr>
        <w:t xml:space="preserve">:&gt;04}</w:t>
      </w:r>
      <w:r>
        <w:rPr>
          <w:rStyle w:val="SpecialStringTok"/>
        </w:rPr>
        <w:t xml:space="preserve">+</w:t>
      </w:r>
      <w:r>
        <w:rPr>
          <w:rStyle w:val="SpecialCharTok"/>
        </w:rPr>
        <w:t xml:space="preserve">{</w:t>
      </w:r>
      <w:r>
        <w:rPr>
          <w:rStyle w:val="NormalTok"/>
        </w:rPr>
        <w:t xml:space="preserve">date2doty()</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(time2doty(</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1e6</w:t>
      </w:r>
      <w:r>
        <w:rPr>
          <w:rStyle w:val="NormalTok"/>
        </w:rPr>
        <w:t xml:space="preserve">)</w:t>
      </w:r>
      <w:r>
        <w:rPr>
          <w:rStyle w:val="SpecialCharTok"/>
        </w:rPr>
        <w:t xml:space="preserve">:&gt;05}</w:t>
      </w:r>
      <w:r>
        <w:rPr>
          <w:rStyle w:val="SpecialStringTok"/>
        </w:rPr>
        <w:t xml:space="preserve">"</w:t>
      </w:r>
    </w:p>
    <w:p>
      <w:pPr>
        <w:pStyle w:val="SourceCode"/>
      </w:pPr>
      <w:r>
        <w:rPr>
          <w:rStyle w:val="VerbatimChar"/>
        </w:rPr>
        <w:t xml:space="preserve">'1969+306.00000'</w:t>
      </w:r>
    </w:p>
    <w:bookmarkEnd w:id="125"/>
    <w:bookmarkStart w:id="126" w:name="doty2time-2"/>
    <w:p>
      <w:pPr>
        <w:pStyle w:val="Heading5"/>
      </w:pPr>
      <w:r>
        <w:rPr>
          <w:rStyle w:val="VerbatimChar"/>
        </w:rPr>
        <w:t xml:space="preserve">doty2time</w:t>
      </w:r>
    </w:p>
    <w:p>
      <w:pPr>
        <w:pStyle w:val="SourceCode"/>
      </w:pPr>
      <w:r>
        <w:rPr>
          <w:rStyle w:val="KeywordTok"/>
        </w:rPr>
        <w:t xml:space="preserve">def</w:t>
      </w:r>
      <w:r>
        <w:rPr>
          <w:rStyle w:val="NormalTok"/>
        </w:rPr>
        <w:t xml:space="preserve"> doty2time(doty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doty.</w:t>
      </w:r>
      <w:r>
        <w:rPr>
          <w:rStyle w:val="FunctionTok"/>
        </w:rPr>
        <w:t xml:space="preserve">__floor__</w:t>
      </w:r>
      <w:r>
        <w:rPr>
          <w:rStyle w:val="NormalTok"/>
        </w:rPr>
        <w:t xml:space="preserve">()</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floorHours </w:t>
      </w:r>
      <w:r>
        <w:rPr>
          <w:rStyle w:val="OperatorTok"/>
        </w:rPr>
        <w:t xml:space="preserve">=</w:t>
      </w:r>
      <w:r>
        <w:rPr>
          <w:rStyle w:val="NormalTok"/>
        </w:rPr>
        <w:t xml:space="preserve"> hours.</w:t>
      </w:r>
      <w:r>
        <w:rPr>
          <w:rStyle w:val="FunctionTok"/>
        </w:rPr>
        <w:t xml:space="preserve">__floor__</w:t>
      </w:r>
      <w:r>
        <w:rPr>
          <w:rStyle w:val="NormalTok"/>
        </w:rPr>
        <w:t xml:space="preserve">()</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DecValTok"/>
        </w:rPr>
        <w:t xml:space="preserve">60</w:t>
      </w:r>
      <w:r>
        <w:br/>
      </w:r>
      <w:r>
        <w:rPr>
          <w:rStyle w:val="NormalTok"/>
        </w:rPr>
        <w:t xml:space="preserve">    floorMinutes </w:t>
      </w:r>
      <w:r>
        <w:rPr>
          <w:rStyle w:val="OperatorTok"/>
        </w:rPr>
        <w:t xml:space="preserve">=</w:t>
      </w:r>
      <w:r>
        <w:rPr>
          <w:rStyle w:val="NormalTok"/>
        </w:rPr>
        <w:t xml:space="preserve"> minutes.</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DecValTok"/>
        </w:rPr>
        <w:t xml:space="preserve">60</w:t>
      </w:r>
      <w:r>
        <w:br/>
      </w:r>
      <w:r>
        <w:br/>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doty2date()))</w:t>
      </w:r>
      <w:r>
        <w:rPr>
          <w:rStyle w:val="SpecialCharTok"/>
        </w:rPr>
        <w:t xml:space="preserve">}</w:t>
      </w:r>
      <w:r>
        <w:rPr>
          <w:rStyle w:val="SpecialStringTok"/>
        </w:rPr>
        <w:t xml:space="preserve">"</w:t>
      </w:r>
      <w:r>
        <w:br/>
      </w:r>
      <w:r>
        <w:rPr>
          <w:rStyle w:val="NormalTok"/>
        </w:rPr>
        <w:t xml:space="preserve">    </w:t>
      </w:r>
      <w:r>
        <w:rPr>
          <w:rStyle w:val="SpecialStringTok"/>
        </w:rPr>
        <w:t xml:space="preserve">f"T</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w:t>
      </w:r>
      <w:r>
        <w:rPr>
          <w:rStyle w:val="BuiltInTok"/>
        </w:rPr>
        <w:t xml:space="preserve">round</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doty2time(</w:t>
      </w:r>
      <w:r>
        <w:rPr>
          <w:rStyle w:val="DecValTok"/>
        </w:rPr>
        <w:t xml:space="preserve">0</w:t>
      </w:r>
      <w:r>
        <w:rPr>
          <w:rStyle w:val="NormalTok"/>
        </w:rPr>
        <w:t xml:space="preserve">)))</w:t>
      </w:r>
      <w:r>
        <w:rPr>
          <w:rStyle w:val="SpecialCharTok"/>
        </w:rPr>
        <w:t xml:space="preserve">}</w:t>
      </w:r>
      <w:r>
        <w:rPr>
          <w:rStyle w:val="SpecialStringTok"/>
        </w:rPr>
        <w:t xml:space="preserve">"</w:t>
      </w:r>
      <w:r>
        <w:br/>
      </w:r>
      <w:r>
        <w:rPr>
          <w:rStyle w:val="NormalTok"/>
        </w:rPr>
        <w:t xml:space="preserve">)</w:t>
      </w:r>
    </w:p>
    <w:p>
      <w:pPr>
        <w:pStyle w:val="SourceCode"/>
      </w:pPr>
      <w:r>
        <w:rPr>
          <w:rStyle w:val="VerbatimChar"/>
        </w:rPr>
        <w:t xml:space="preserve">'1970-01-01T00:00:00'</w:t>
      </w:r>
    </w:p>
    <w:bookmarkEnd w:id="126"/>
    <w:p>
      <w:pPr>
        <w:pStyle w:val="Heading4"/>
      </w:pPr>
      <w:r>
        <w:t xml:space="preserve">R</w:t>
      </w:r>
    </w:p>
    <w:bookmarkStart w:id="127" w:name="time2doty-3"/>
    <w:p>
      <w:pPr>
        <w:pStyle w:val="Heading5"/>
      </w:pPr>
      <w:r>
        <w:rPr>
          <w:rStyle w:val="VerbatimChar"/>
        </w:rPr>
        <w:t xml:space="preserve">time2doty</w:t>
      </w:r>
    </w:p>
    <w:p>
      <w:pPr>
        <w:pStyle w:val="SourceCode"/>
      </w:pPr>
      <w:r>
        <w:rPr>
          <w:rStyle w:val="NormalTok"/>
        </w:rPr>
        <w:t xml:space="preserve">time2doty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hours =</w:t>
      </w:r>
      <w:r>
        <w:rPr>
          <w:rStyle w:val="NormalTok"/>
        </w:rPr>
        <w:t xml:space="preserve"> </w:t>
      </w:r>
      <w:r>
        <w:rPr>
          <w:rStyle w:val="DecValTok"/>
        </w:rPr>
        <w:t xml:space="preserve">1</w:t>
      </w:r>
      <w:r>
        <w:rPr>
          <w:rStyle w:val="NormalTok"/>
        </w:rPr>
        <w:t xml:space="preserve">, </w:t>
      </w:r>
      <w:r>
        <w:rPr>
          <w:rStyle w:val="AttributeTok"/>
        </w:rPr>
        <w:t xml:space="preserve">minutes =</w:t>
      </w:r>
      <w:r>
        <w:rPr>
          <w:rStyle w:val="NormalTok"/>
        </w:rPr>
        <w:t xml:space="preserve"> </w:t>
      </w:r>
      <w:r>
        <w:rPr>
          <w:rStyle w:val="DecValTok"/>
        </w:rPr>
        <w:t xml:space="preserve">0</w:t>
      </w:r>
      <w:r>
        <w:rPr>
          <w:rStyle w:val="NormalTok"/>
        </w:rPr>
        <w:t xml:space="preserve">, </w:t>
      </w:r>
      <w:r>
        <w:rPr>
          <w:rStyle w:val="AttributeTok"/>
        </w:rPr>
        <w:t xml:space="preserve">seconds =</w:t>
      </w:r>
      <w:r>
        <w:rPr>
          <w:rStyle w:val="NormalTok"/>
        </w:rPr>
        <w:t xml:space="preserve"> </w:t>
      </w:r>
      <w:r>
        <w:rPr>
          <w:rStyle w:val="DecValTok"/>
        </w:rPr>
        <w:t xml:space="preserve">0</w:t>
      </w:r>
      <w:r>
        <w:rPr>
          <w:rStyle w:val="NormalTok"/>
        </w:rPr>
        <w:t xml:space="preserve">) {</w:t>
      </w:r>
      <w:r>
        <w:br/>
      </w:r>
      <w:r>
        <w:rPr>
          <w:rStyle w:val="NormalTok"/>
        </w:rPr>
        <w:t xml:space="preserve">    hours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minutes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seconds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date2year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date2doty</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FloatTok"/>
        </w:rPr>
        <w:t xml:space="preserve">1e5</w:t>
      </w:r>
      <w:r>
        <w:rPr>
          <w:rStyle w:val="NormalTok"/>
        </w:rPr>
        <w:t xml:space="preserve">)))</w:t>
      </w:r>
    </w:p>
    <w:p>
      <w:pPr>
        <w:pStyle w:val="SourceCode"/>
      </w:pPr>
      <w:r>
        <w:rPr>
          <w:rStyle w:val="VerbatimChar"/>
        </w:rPr>
        <w:t xml:space="preserve">Unable to display output for mime type(s): text/html</w:t>
      </w:r>
    </w:p>
    <w:bookmarkEnd w:id="127"/>
    <w:bookmarkStart w:id="128" w:name="doty2time-3"/>
    <w:p>
      <w:pPr>
        <w:pStyle w:val="Heading5"/>
      </w:pPr>
      <w:r>
        <w:rPr>
          <w:rStyle w:val="VerbatimChar"/>
        </w:rPr>
        <w:t xml:space="preserve">doty2time</w:t>
      </w:r>
    </w:p>
    <w:p>
      <w:pPr>
        <w:pStyle w:val="SourceCode"/>
      </w:pPr>
      <w:r>
        <w:rPr>
          <w:rStyle w:val="NormalTok"/>
        </w:rPr>
        <w:t xml:space="preserve">doty2time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hours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floorHours </w:t>
      </w:r>
      <w:r>
        <w:rPr>
          <w:rStyle w:val="OtherTok"/>
        </w:rPr>
        <w:t xml:space="preserve">&lt;-</w:t>
      </w:r>
      <w:r>
        <w:rPr>
          <w:rStyle w:val="NormalTok"/>
        </w:rPr>
        <w:t xml:space="preserve"> </w:t>
      </w:r>
      <w:r>
        <w:rPr>
          <w:rStyle w:val="FunctionTok"/>
        </w:rPr>
        <w:t xml:space="preserve">floor</w:t>
      </w:r>
      <w:r>
        <w:rPr>
          <w:rStyle w:val="NormalTok"/>
        </w:rPr>
        <w:t xml:space="preserve">(hours)</w:t>
      </w:r>
      <w:r>
        <w:br/>
      </w:r>
      <w:r>
        <w:rPr>
          <w:rStyle w:val="NormalTok"/>
        </w:rPr>
        <w:t xml:space="preserve">    minutes </w:t>
      </w:r>
      <w:r>
        <w:rPr>
          <w:rStyle w:val="OtherTok"/>
        </w:rPr>
        <w:t xml:space="preserve">&lt;-</w:t>
      </w:r>
      <w:r>
        <w:rPr>
          <w:rStyle w:val="NormalTok"/>
        </w:rPr>
        <w:t xml:space="preserve"> (hours </w:t>
      </w:r>
      <w:r>
        <w:rPr>
          <w:rStyle w:val="SpecialCharTok"/>
        </w:rPr>
        <w:t xml:space="preserve">-</w:t>
      </w:r>
      <w:r>
        <w:rPr>
          <w:rStyle w:val="NormalTok"/>
        </w:rPr>
        <w:t xml:space="preserve"> floorHours) </w:t>
      </w:r>
      <w:r>
        <w:rPr>
          <w:rStyle w:val="SpecialCharTok"/>
        </w:rPr>
        <w:t xml:space="preserve">/</w:t>
      </w:r>
      <w:r>
        <w:rPr>
          <w:rStyle w:val="NormalTok"/>
        </w:rPr>
        <w:t xml:space="preserve"> </w:t>
      </w:r>
      <w:r>
        <w:rPr>
          <w:rStyle w:val="DecValTok"/>
        </w:rPr>
        <w:t xml:space="preserve">60</w:t>
      </w:r>
      <w:r>
        <w:br/>
      </w:r>
      <w:r>
        <w:rPr>
          <w:rStyle w:val="NormalTok"/>
        </w:rPr>
        <w:t xml:space="preserve">    floorMinutes </w:t>
      </w:r>
      <w:r>
        <w:rPr>
          <w:rStyle w:val="OtherTok"/>
        </w:rPr>
        <w:t xml:space="preserve">&lt;-</w:t>
      </w:r>
      <w:r>
        <w:rPr>
          <w:rStyle w:val="NormalTok"/>
        </w:rPr>
        <w:t xml:space="preserve"> </w:t>
      </w:r>
      <w:r>
        <w:rPr>
          <w:rStyle w:val="FunctionTok"/>
        </w:rPr>
        <w:t xml:space="preserve">floor</w:t>
      </w:r>
      <w:r>
        <w:rPr>
          <w:rStyle w:val="NormalTok"/>
        </w:rPr>
        <w:t xml:space="preserve">(minutes)</w:t>
      </w:r>
      <w:r>
        <w:br/>
      </w:r>
      <w:r>
        <w:rPr>
          <w:rStyle w:val="NormalTok"/>
        </w:rPr>
        <w:t xml:space="preserve">    </w:t>
      </w:r>
      <w:r>
        <w:rPr>
          <w:rStyle w:val="FunctionTok"/>
        </w:rPr>
        <w:t xml:space="preserve">c</w:t>
      </w:r>
      <w:r>
        <w:rPr>
          <w:rStyle w:val="NormalTok"/>
        </w:rPr>
        <w:t xml:space="preserve">(floorHours, floorMinutes, (minutes </w:t>
      </w:r>
      <w:r>
        <w:rPr>
          <w:rStyle w:val="SpecialCharTok"/>
        </w:rPr>
        <w:t xml:space="preserve">-</w:t>
      </w:r>
      <w:r>
        <w:rPr>
          <w:rStyle w:val="NormalTok"/>
        </w:rPr>
        <w:t xml:space="preserve"> floorMinutes)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doty2date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doty2time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28"/>
    <w:bookmarkEnd w:id="129"/>
    <w:bookmarkStart w:id="142" w:name="sec-isoz"/>
    <w:p>
      <w:pPr>
        <w:pStyle w:val="Heading3"/>
      </w:pPr>
      <w:r>
        <w:t xml:space="preserve">3.2.5 Time zones</w:t>
      </w:r>
    </w:p>
    <w:p>
      <w:pPr>
        <w:pStyle w:val="FirstParagraph"/>
      </w:pPr>
      <w:r>
        <w:t xml:space="preserve">ISO 8601 timestamps will often have a</w:t>
      </w:r>
      <w:r>
        <w:t xml:space="preserve"> </w:t>
      </w:r>
      <w:r>
        <w:rPr>
          <w:rStyle w:val="VerbatimChar"/>
        </w:rPr>
        <w:t xml:space="preserve">Z</w:t>
      </w:r>
      <w:r>
        <w:t xml:space="preserve"> </w:t>
      </w:r>
      <w:r>
        <w:t xml:space="preserve">at the end (</w:t>
      </w:r>
      <w:r>
        <w:rPr>
          <w:rStyle w:val="VerbatimChar"/>
        </w:rPr>
        <w:t xml:space="preserve">year-mm-ddThh:mm:ssZ</w:t>
      </w:r>
      <w:r>
        <w:t xml:space="preserve">). This</w:t>
      </w:r>
      <w:r>
        <w:t xml:space="preserve"> </w:t>
      </w:r>
      <w:r>
        <w:rPr>
          <w:rStyle w:val="VerbatimChar"/>
        </w:rPr>
        <w:t xml:space="preserve">Z</w:t>
      </w:r>
      <w:r>
        <w:t xml:space="preserve"> </w:t>
      </w:r>
      <w:r>
        <w:t xml:space="preserve">is a</w:t>
      </w:r>
      <w:r>
        <w:t xml:space="preserve"> </w:t>
      </w:r>
      <w:hyperlink r:id="rId130">
        <w:r>
          <w:rPr>
            <w:rStyle w:val="Hyperlink"/>
          </w:rPr>
          <w:t xml:space="preserve">military time zone code</w:t>
        </w:r>
      </w:hyperlink>
      <w:r>
        <w:t xml:space="preserve"> </w:t>
      </w:r>
      <w:r>
        <w:t xml:space="preserve">that represents the</w:t>
      </w:r>
      <w:r>
        <w:t xml:space="preserve"> </w:t>
      </w:r>
      <w:hyperlink r:id="rId131">
        <w:r>
          <w:rPr>
            <w:rStyle w:val="Hyperlink"/>
          </w:rPr>
          <w:t xml:space="preserve">UTC+00:00</w:t>
        </w:r>
      </w:hyperlink>
      <w:r>
        <w:t xml:space="preserve"> </w:t>
      </w:r>
      <w:r>
        <w:t xml:space="preserve">time zone, which is the basis of</w:t>
      </w:r>
      <w:r>
        <w:t xml:space="preserve"> </w:t>
      </w:r>
      <w:hyperlink r:id="rId132">
        <w:r>
          <w:rPr>
            <w:rStyle w:val="Hyperlink"/>
          </w:rPr>
          <w:t xml:space="preserve">Coordinated Universal Time (UTC)</w:t>
        </w:r>
      </w:hyperlink>
      <w:r>
        <w:t xml:space="preserve">.</w:t>
      </w:r>
      <w:r>
        <w:t xml:space="preserve"> </w:t>
      </w:r>
      <w:r>
        <w:rPr>
          <w:rStyle w:val="VerbatimChar"/>
        </w:rPr>
        <w:t xml:space="preserve">Decalendar</w:t>
      </w:r>
      <w:r>
        <w:t xml:space="preserve"> </w:t>
      </w:r>
      <w:r>
        <w:t xml:space="preserve">timestamps and</w:t>
      </w:r>
      <w:r>
        <w:t xml:space="preserve"> </w:t>
      </w:r>
      <w:r>
        <w:rPr>
          <w:rStyle w:val="VerbatimChar"/>
        </w:rPr>
        <w:t xml:space="preserve">Declock</w:t>
      </w:r>
      <w:r>
        <w:t xml:space="preserve"> </w:t>
      </w:r>
      <w:r>
        <w:t xml:space="preserve">times that are synchronized with UTC can end in</w:t>
      </w:r>
      <w:r>
        <w:t xml:space="preserve"> </w:t>
      </w:r>
      <w:r>
        <w:rPr>
          <w:rStyle w:val="VerbatimChar"/>
        </w:rPr>
        <w:t xml:space="preserve">Z</w:t>
      </w:r>
      <w:r>
        <w:t xml:space="preserve"> </w:t>
      </w:r>
      <w:r>
        <w:t xml:space="preserve">(</w:t>
      </w:r>
      <w:r>
        <w:rPr>
          <w:rStyle w:val="VerbatimChar"/>
        </w:rPr>
        <w:t xml:space="preserve">year+day.dddddZ</w:t>
      </w:r>
      <w:r>
        <w:t xml:space="preserve">) or a</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8</w:t>
        </w:r>
      </w:hyperlink>
      <w:r>
        <w:t xml:space="preserve"> </w:t>
      </w:r>
      <w:r>
        <w:t xml:space="preserve">converts between UTC offsets and military time zone codes.</w:t>
      </w:r>
      <w:r>
        <w:t xml:space="preserve"> </w:t>
      </w:r>
      <w:hyperlink w:anchor="sec-zone">
        <w:r>
          <w:rPr>
            <w:rStyle w:val="Hyperlink"/>
          </w:rPr>
          <w:t xml:space="preserve">Section 6</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33" w:name="exm-isoz"/>
    <w:p>
      <w:pPr>
        <w:pStyle w:val="BodyText"/>
      </w:pPr>
      <w:r>
        <w:rPr>
          <w:bCs/>
          <w:b/>
        </w:rPr>
        <w:t xml:space="preserve">Example 8</w:t>
      </w:r>
      <w:r>
        <w:rPr>
          <w:bCs/>
          <w:b/>
        </w:rPr>
        <w:t xml:space="preserve"> </w:t>
      </w:r>
      <w:r>
        <w:t xml:space="preserve"> </w:t>
      </w:r>
    </w:p>
    <w:bookmarkEnd w:id="133"/>
    <w:p>
      <w:pPr>
        <w:pStyle w:val="Heading4"/>
      </w:pPr>
      <w:r>
        <w:t xml:space="preserve">JavaScript</w:t>
      </w:r>
    </w:p>
    <w:bookmarkStart w:id="134"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34"/>
    <w:bookmarkStart w:id="135"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35"/>
    <w:p>
      <w:pPr>
        <w:pStyle w:val="Heading4"/>
      </w:pPr>
      <w:r>
        <w:t xml:space="preserve">Julia</w:t>
      </w:r>
    </w:p>
    <w:bookmarkStart w:id="136"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36"/>
    <w:bookmarkStart w:id="137"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37"/>
    <w:p>
      <w:pPr>
        <w:pStyle w:val="Heading4"/>
      </w:pPr>
      <w:r>
        <w:t xml:space="preserve">Python</w:t>
      </w:r>
    </w:p>
    <w:bookmarkStart w:id="138"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38"/>
    <w:bookmarkStart w:id="139"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39"/>
    <w:p>
      <w:pPr>
        <w:pStyle w:val="Heading4"/>
      </w:pPr>
      <w:r>
        <w:t xml:space="preserve">R</w:t>
      </w:r>
    </w:p>
    <w:bookmarkStart w:id="140"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40"/>
    <w:bookmarkStart w:id="141"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41"/>
    <w:bookmarkEnd w:id="142"/>
    <w:bookmarkStart w:id="145" w:name="sec-isoi"/>
    <w:p>
      <w:pPr>
        <w:pStyle w:val="Heading3"/>
      </w:pPr>
      <w:r>
        <w:t xml:space="preserve">3.2.6 Time intervals</w:t>
      </w:r>
    </w:p>
    <w:p>
      <w:pPr>
        <w:pStyle w:val="FirstParagraph"/>
      </w:pPr>
      <w:r>
        <w:t xml:space="preserve">ISO 8601 specifies three methods of unequivocally representing</w:t>
      </w:r>
      <w:r>
        <w:t xml:space="preserve"> </w:t>
      </w:r>
      <w:hyperlink r:id="rId143">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date2link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9</w:t>
        </w:r>
      </w:hyperlink>
      <w:r>
        <w:t xml:space="preserve"> </w:t>
      </w:r>
      <w:r>
        <w:t xml:space="preserve">create such links for Google, Outlook, Office 365, and Yahoo online calendars.</w:t>
      </w:r>
    </w:p>
    <w:bookmarkStart w:id="144" w:name="exm-isoi"/>
    <w:p>
      <w:pPr>
        <w:pStyle w:val="BodyText"/>
      </w:pPr>
      <w:r>
        <w:rPr>
          <w:bCs/>
          <w:b/>
        </w:rPr>
        <w:t xml:space="preserve">Example 9</w:t>
      </w:r>
      <w:r>
        <w:rPr>
          <w:bCs/>
          <w:b/>
        </w:rPr>
        <w:t xml:space="preserve"> </w:t>
      </w:r>
      <w:r>
        <w:t xml:space="preserve"> </w:t>
      </w:r>
    </w:p>
    <w:bookmarkEnd w:id="144"/>
    <w:bookmarkEnd w:id="145"/>
    <w:bookmarkStart w:id="151" w:name="sec-isor"/>
    <w:p>
      <w:pPr>
        <w:pStyle w:val="Heading3"/>
      </w:pPr>
      <w:r>
        <w:t xml:space="preserve">3.2.7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146">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147">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148">
        <w:r>
          <w:rPr>
            <w:rStyle w:val="Hyperlink"/>
          </w:rPr>
          <w:t xml:space="preserve">Slicing of dates and times</w:t>
        </w:r>
      </w:hyperlink>
      <w:r>
        <w:t xml:space="preserve"> </w:t>
      </w:r>
      <w:r>
        <w:t xml:space="preserve">is fully implemented in the</w:t>
      </w:r>
      <w:r>
        <w:t xml:space="preserve"> </w:t>
      </w:r>
      <w:hyperlink r:id="rId149">
        <w:r>
          <w:rPr>
            <w:rStyle w:val="Hyperlink"/>
          </w:rPr>
          <w:t xml:space="preserve">Pandas Python library</w:t>
        </w:r>
      </w:hyperlink>
      <w:r>
        <w:t xml:space="preserve">. The pandas code shown in</w:t>
      </w:r>
      <w:r>
        <w:t xml:space="preserve"> </w:t>
      </w:r>
      <w:hyperlink w:anchor="exm-isor">
        <w:r>
          <w:rPr>
            <w:rStyle w:val="Hyperlink"/>
          </w:rPr>
          <w:t xml:space="preserve">Example 10</w:t>
        </w:r>
      </w:hyperlink>
      <w:r>
        <w:t xml:space="preserve"> </w:t>
      </w:r>
      <w:r>
        <w:t xml:space="preserve">uses slicing to obtain the start times of the last three 6-hour intervals in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150" w:name="exm-isor"/>
    <w:p>
      <w:pPr>
        <w:pStyle w:val="BodyText"/>
      </w:pPr>
      <w:r>
        <w:rPr>
          <w:bCs/>
          <w:b/>
        </w:rPr>
        <w:t xml:space="preserve">Example 10</w:t>
      </w:r>
      <w:r>
        <w:rPr>
          <w:bCs/>
          <w:b/>
        </w:rPr>
        <w:t xml:space="preserve"> </w:t>
      </w:r>
      <w:r>
        <w:t xml:space="preserve"> </w:t>
      </w:r>
    </w:p>
    <w:bookmarkEnd w:id="150"/>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151"/>
    <w:bookmarkEnd w:id="152"/>
    <w:bookmarkStart w:id="160" w:name="sec-frc"/>
    <w:p>
      <w:pPr>
        <w:pStyle w:val="Heading2"/>
      </w:pPr>
      <w:r>
        <w:t xml:space="preserve">3.3 French Republican calendar</w:t>
      </w:r>
    </w:p>
    <w:bookmarkStart w:id="156" w:name="sec-frcd"/>
    <w:p>
      <w:pPr>
        <w:pStyle w:val="Heading3"/>
      </w:pPr>
      <w:r>
        <w:t xml:space="preserve">3.3.1 French Republican calendar</w:t>
      </w:r>
      <w:r>
        <w:t xml:space="preserve"> </w:t>
      </w:r>
      <w:r>
        <w:rPr>
          <w:iCs/>
          <w:i/>
        </w:rPr>
        <w:t xml:space="preserve">décades</w:t>
      </w:r>
    </w:p>
    <w:p>
      <w:pPr>
        <w:pStyle w:val="FirstParagraph"/>
      </w:pPr>
      <w:r>
        <w:t xml:space="preserve">The</w:t>
      </w:r>
      <w:r>
        <w:t xml:space="preserve"> </w:t>
      </w:r>
      <w:hyperlink r:id="rId153">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Decalendar</w:t>
      </w:r>
      <w:r>
        <w:t xml:space="preserve"> </w:t>
      </w:r>
      <w:r>
        <w:rPr>
          <w:rStyle w:val="VerbatimChar"/>
        </w:rPr>
        <w:t xml:space="preserve">dek</w:t>
      </w:r>
      <w:r>
        <w:t xml:space="preserve"> </w:t>
      </w:r>
      <w:r>
        <w:t xml:space="preserve">are derived from their</w:t>
      </w:r>
      <w:r>
        <w:t xml:space="preserve"> </w:t>
      </w:r>
      <w:hyperlink r:id="rId84">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w:t>
      </w:r>
      <w:r>
        <w:t xml:space="preserve"> </w:t>
      </w:r>
      <w:hyperlink w:anchor="tbl-dotd">
        <w:r>
          <w:rPr>
            <w:rStyle w:val="Hyperlink"/>
          </w:rPr>
          <w:t xml:space="preserve">Table 5</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155" w:name="tbl-dotd"/>
    <w:p>
      <w:pPr>
        <w:pStyle w:val="Heading4"/>
      </w:pPr>
      <w:hyperlink w:anchor="tbl-dotd">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54" w:name="tbl-dotd"/>
          <w:p>
            <w:pPr>
              <w:pStyle w:val="TableCaption"/>
            </w:pPr>
            <w:r>
              <w:t xml:space="preserve">Table 5: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5: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t xml:space="preserve">décadi</w:t>
                  </w:r>
                </w:p>
              </w:tc>
            </w:tr>
          </w:tbl>
          <w:bookmarkEnd w:id="154"/>
        </w:tc>
      </w:tr>
    </w:tbl>
    <w:bookmarkEnd w:id="155"/>
    <w:bookmarkEnd w:id="156"/>
    <w:bookmarkStart w:id="159" w:name="sec-frct"/>
    <w:p>
      <w:pPr>
        <w:pStyle w:val="Heading3"/>
      </w:pPr>
      <w:r>
        <w:t xml:space="preserve">3.3.2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6</w:t>
        </w:r>
      </w:hyperlink>
      <w:r>
        <w:t xml:space="preserve"> </w:t>
      </w:r>
      <w:r>
        <w:t xml:space="preserve">shows the start times of each</w:t>
      </w:r>
      <w:r>
        <w:t xml:space="preserve"> </w:t>
      </w:r>
      <w:r>
        <w:rPr>
          <w:rStyle w:val="VerbatimChar"/>
        </w:rPr>
        <w:t xml:space="preserve">dime</w:t>
      </w:r>
      <w:r>
        <w:t xml:space="preserve"> </w:t>
      </w:r>
      <w:r>
        <w:t xml:space="preserve">(⅒) in a day and their equivalents in 24-hour and 12-hour standard time.</w:t>
      </w:r>
    </w:p>
    <w:bookmarkStart w:id="158" w:name="tbl-dime"/>
    <w:p>
      <w:pPr>
        <w:pStyle w:val="Heading4"/>
      </w:pPr>
      <w:hyperlink w:anchor="tbl-dime">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57" w:name="tbl-dime"/>
          <w:p>
            <w:pPr>
              <w:pStyle w:val="TableCaption"/>
            </w:pPr>
            <w:r>
              <w:t xml:space="preserve">Table 6: The start times of each</w:t>
            </w:r>
            <w:r>
              <w:t xml:space="preserve"> </w:t>
            </w:r>
            <w:r>
              <w:rPr>
                <w:rStyle w:val="VerbatimChar"/>
              </w:rPr>
              <w:t xml:space="preserve">dime</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6: The start times of each dime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157"/>
        </w:tc>
      </w:tr>
    </w:tbl>
    <w:bookmarkEnd w:id="158"/>
    <w:bookmarkEnd w:id="159"/>
    <w:bookmarkEnd w:id="160"/>
    <w:bookmarkStart w:id="163" w:name="sec-sit"/>
    <w:p>
      <w:pPr>
        <w:pStyle w:val="Heading2"/>
      </w:pPr>
      <w:r>
        <w:t xml:space="preserve">3.4 Swatch Internet Time</w:t>
      </w:r>
    </w:p>
    <w:p>
      <w:pPr>
        <w:pStyle w:val="FirstParagraph"/>
      </w:pPr>
      <w:hyperlink r:id="rId161">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162">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6</w:t>
        </w:r>
      </w:hyperlink>
      <w:r>
        <w:t xml:space="preserve">.</w:t>
      </w:r>
    </w:p>
    <w:bookmarkEnd w:id="163"/>
    <w:bookmarkStart w:id="167" w:name="sec-jd"/>
    <w:p>
      <w:pPr>
        <w:pStyle w:val="Heading2"/>
      </w:pPr>
      <w:r>
        <w:t xml:space="preserve">3.5 Julian dates</w:t>
      </w:r>
    </w:p>
    <w:p>
      <w:pPr>
        <w:pStyle w:val="FirstParagraph"/>
      </w:pPr>
      <w:r>
        <w:t xml:space="preserve">Julian dates are the number of</w:t>
      </w:r>
      <w:r>
        <w:t xml:space="preserve"> </w:t>
      </w:r>
      <w:hyperlink r:id="rId112">
        <w:r>
          <w:rPr>
            <w:rStyle w:val="Hyperlink"/>
          </w:rPr>
          <w:t xml:space="preserve">fractional days</w:t>
        </w:r>
      </w:hyperlink>
      <w:r>
        <w:t xml:space="preserve"> </w:t>
      </w:r>
      <w:r>
        <w:t xml:space="preserve">since</w:t>
      </w:r>
      <w:r>
        <w:t xml:space="preserve"> </w:t>
      </w:r>
      <w:r>
        <w:rPr>
          <w:rStyle w:val="VerbatimChar"/>
        </w:rPr>
        <w:t xml:space="preserve">-4713+327.5</w:t>
      </w:r>
      <w:r>
        <w:t xml:space="preserve">, which is noon on November 24, 4714 BC in the Gregorian calendar and January 1, 4713 BC in the Julian calendar. Julian days start at noon, whereas</w:t>
      </w:r>
      <w:r>
        <w:t xml:space="preserve"> </w:t>
      </w:r>
      <w:r>
        <w:rPr>
          <w:rStyle w:val="VerbatimChar"/>
        </w:rPr>
        <w:t xml:space="preserve">Decalendar</w:t>
      </w:r>
      <w:r>
        <w:t xml:space="preserve"> </w:t>
      </w:r>
      <w:r>
        <w:t xml:space="preserve">days, and some</w:t>
      </w:r>
      <w:r>
        <w:t xml:space="preserve"> </w:t>
      </w:r>
      <w:hyperlink r:id="rId164">
        <w:r>
          <w:rPr>
            <w:rStyle w:val="Hyperlink"/>
          </w:rPr>
          <w:t xml:space="preserve">Julian day variants</w:t>
        </w:r>
      </w:hyperlink>
      <w:r>
        <w:t xml:space="preserve">, start at midnight. Like Swatch Internet Time, Julian dates only use a single time zone (</w:t>
      </w:r>
      <w:hyperlink r:id="rId165">
        <w:r>
          <w:rPr>
            <w:rStyle w:val="Hyperlink"/>
          </w:rPr>
          <w:t xml:space="preserve">UTC+0</w:t>
        </w:r>
      </w:hyperlink>
      <w:r>
        <w:t xml:space="preserve">). To obtain a</w:t>
      </w:r>
      <w:r>
        <w:t xml:space="preserve"> </w:t>
      </w:r>
      <w:r>
        <w:rPr>
          <w:rStyle w:val="VerbatimChar"/>
        </w:rPr>
        <w:t xml:space="preserve">Declock</w:t>
      </w:r>
      <w:r>
        <w:t xml:space="preserve"> </w:t>
      </w:r>
      <w:r>
        <w:t xml:space="preserve">time from a Julian date, we subtract the Julian day number (</w:t>
      </w:r>
      <m:oMath>
        <m:r>
          <m:rPr>
            <m:sty m:val="p"/>
          </m:rPr>
          <m:t>⌊</m:t>
        </m:r>
        <m:r>
          <m:t>J</m:t>
        </m:r>
        <m:r>
          <m:t>D</m:t>
        </m:r>
        <m:r>
          <m:rPr>
            <m:sty m:val="p"/>
          </m:rPr>
          <m:t>⌋</m:t>
        </m:r>
      </m:oMath>
      <w:r>
        <w:t xml:space="preserve">) from the Julian date (</w:t>
      </w:r>
      <m:oMath>
        <m:r>
          <m:t>J</m:t>
        </m:r>
        <m:r>
          <m:t>D</m:t>
        </m:r>
      </m:oMath>
      <w:r>
        <w:t xml:space="preserve">), add 0.5, and then obtaining the remainder after dividing by 1 as shown in</w:t>
      </w:r>
      <w:r>
        <w:t xml:space="preserve"> </w:t>
      </w:r>
      <w:hyperlink w:anchor="eq-jd">
        <w:r>
          <w:rPr>
            <w:rStyle w:val="Hyperlink"/>
          </w:rPr>
          <w:t xml:space="preserve">Equation 8</w:t>
        </w:r>
      </w:hyperlink>
      <w:r>
        <w:t xml:space="preserve">.</w:t>
      </w:r>
    </w:p>
    <w:p>
      <w:pPr>
        <w:pStyle w:val="BodyText"/>
      </w:pPr>
      <w:bookmarkStart w:id="166" w:name="eq-jd"/>
      <m:oMathPara>
        <m:oMathParaPr>
          <m:jc m:val="center"/>
        </m:oMathParaPr>
        <m:oMath>
          <m:r>
            <m:t>t</m:t>
          </m:r>
          <m:r>
            <m:t>i</m:t>
          </m:r>
          <m:r>
            <m:t>m</m:t>
          </m:r>
          <m:r>
            <m:t>e</m:t>
          </m:r>
          <m:r>
            <m:rPr>
              <m:sty m:val="p"/>
            </m:rPr>
            <m:t>=</m:t>
          </m:r>
          <m:d>
            <m:dPr>
              <m:begChr m:val="("/>
              <m:endChr m:val=")"/>
              <m:sepChr m:val=""/>
              <m:grow/>
            </m:dPr>
            <m:e>
              <m:r>
                <m:t>J</m:t>
              </m:r>
              <m:r>
                <m:t>D</m:t>
              </m:r>
              <m:r>
                <m:rPr>
                  <m:sty m:val="p"/>
                </m:rPr>
                <m:t>−</m:t>
              </m:r>
              <m:r>
                <m:rPr>
                  <m:sty m:val="p"/>
                </m:rPr>
                <m:t>⌊</m:t>
              </m:r>
              <m:r>
                <m:t>J</m:t>
              </m:r>
              <m:r>
                <m:t>D</m:t>
              </m:r>
              <m:r>
                <m:rPr>
                  <m:sty m:val="p"/>
                </m:rPr>
                <m:t>⌋</m:t>
              </m:r>
              <m:r>
                <m:rPr>
                  <m:sty m:val="p"/>
                </m:rPr>
                <m:t>+</m:t>
              </m:r>
              <m:r>
                <m:t>.5</m:t>
              </m:r>
            </m:e>
          </m:d>
          <m:r>
            <m:t> </m:t>
          </m:r>
          <m:r>
            <m:rPr>
              <m:sty m:val="p"/>
            </m:rPr>
            <m:t>mod</m:t>
          </m:r>
          <m:r>
            <m:t> </m:t>
          </m:r>
          <m:r>
            <m:t>1</m:t>
          </m:r>
          <m:r>
            <m:t>  </m:t>
          </m:r>
          <m:d>
            <m:dPr>
              <m:begChr m:val="("/>
              <m:endChr m:val=")"/>
              <m:sepChr m:val=""/>
              <m:grow/>
            </m:dPr>
            <m:e>
              <m:r>
                <m:t>8</m:t>
              </m:r>
            </m:e>
          </m:d>
        </m:oMath>
      </m:oMathPara>
      <w:bookmarkEnd w:id="166"/>
    </w:p>
    <w:bookmarkEnd w:id="167"/>
    <w:bookmarkStart w:id="187" w:name="sec-unix"/>
    <w:p>
      <w:pPr>
        <w:pStyle w:val="Heading2"/>
      </w:pPr>
      <w:r>
        <w:t xml:space="preserve">3.6 UNIX time</w:t>
      </w:r>
    </w:p>
    <w:bookmarkStart w:id="169" w:name="sec-unixj"/>
    <w:p>
      <w:pPr>
        <w:pStyle w:val="Heading3"/>
      </w:pPr>
      <w:r>
        <w:t xml:space="preserve">3.6.1 Julian time conversion to UNIX time</w:t>
      </w:r>
    </w:p>
    <w:p>
      <w:pPr>
        <w:pStyle w:val="FirstParagraph"/>
      </w:pPr>
      <w:r>
        <w:t xml:space="preserve">While it is possible to convert Julian dates into</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the official definition of</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165">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9</w:t>
        </w:r>
      </w:hyperlink>
      <w:r>
        <w:t xml:space="preserve">.</w:t>
      </w:r>
    </w:p>
    <w:p>
      <w:pPr>
        <w:pStyle w:val="BodyText"/>
      </w:pPr>
      <w:bookmarkStart w:id="168"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9</m:t>
              </m:r>
            </m:e>
          </m:d>
        </m:oMath>
      </m:oMathPara>
      <w:bookmarkEnd w:id="168"/>
    </w:p>
    <w:bookmarkEnd w:id="169"/>
    <w:bookmarkStart w:id="174" w:name="sec-unixd"/>
    <w:p>
      <w:pPr>
        <w:pStyle w:val="Heading3"/>
      </w:pPr>
      <w:r>
        <w:t xml:space="preserve">3.6.2 UNIX time conversion to</w:t>
      </w:r>
      <w:r>
        <w:t xml:space="preserve"> </w:t>
      </w:r>
      <w:r>
        <w:rPr>
          <w:rStyle w:val="VerbatimChar"/>
        </w:rPr>
        <w:t xml:space="preserve">Decalendar</w:t>
      </w:r>
      <w:r>
        <w:t xml:space="preserve"> </w:t>
      </w:r>
      <w:r>
        <w:t xml:space="preserve">date</w:t>
      </w:r>
    </w:p>
    <w:p>
      <w:pPr>
        <w:pStyle w:val="FirstParagraph"/>
      </w:pPr>
      <w:r>
        <w:t xml:space="preserve">To calculate</w:t>
      </w:r>
      <w:r>
        <w:t xml:space="preserve"> </w:t>
      </w:r>
      <w:r>
        <w:rPr>
          <w:rStyle w:val="VerbatimChar"/>
        </w:rPr>
        <w:t xml:space="preserve">Decalendar</w:t>
      </w:r>
      <w:r>
        <w:t xml:space="preserve"> </w:t>
      </w:r>
      <w:r>
        <w:t xml:space="preserve">dates directly from UNIX time, we can use a calculation adapted the 2014 article entitled</w:t>
      </w:r>
      <w:r>
        <w:t xml:space="preserve"> </w:t>
      </w:r>
      <w:hyperlink r:id="rId44">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45">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era">
        <w:r>
          <w:rPr>
            <w:rStyle w:val="Hyperlink"/>
          </w:rPr>
          <w:t xml:space="preserve">Equation 10</w:t>
        </w:r>
      </w:hyperlink>
      <w:r>
        <w:t xml:space="preserve">),</w:t>
      </w:r>
      <w:r>
        <w:t xml:space="preserve"> </w:t>
      </w:r>
      <w:r>
        <w:rPr>
          <w:rStyle w:val="VerbatimChar"/>
        </w:rPr>
        <w:t xml:space="preserve">day-of-era</w:t>
      </w:r>
      <w:r>
        <w:t xml:space="preserve"> </w:t>
      </w:r>
      <w:r>
        <w:t xml:space="preserve">(</w:t>
      </w:r>
      <w:hyperlink w:anchor="eq-doe">
        <w:r>
          <w:rPr>
            <w:rStyle w:val="Hyperlink"/>
          </w:rPr>
          <w:t xml:space="preserve">Equation 11</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p>
      <w:pPr>
        <w:pStyle w:val="BodyText"/>
      </w:pPr>
      <w:bookmarkStart w:id="170" w:name="eq-era"/>
      <m:oMathPara>
        <m:oMathParaPr>
          <m:jc m:val="center"/>
        </m:oMathParaPr>
        <m:oMath>
          <m:r>
            <m:t>e</m:t>
          </m:r>
          <m:r>
            <m:t>r</m:t>
          </m:r>
          <m:r>
            <m:t>a</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a</m:t>
                        </m:r>
                        <m:r>
                          <m:t>y</m:t>
                        </m:r>
                        <m:r>
                          <m:t>s</m:t>
                        </m:r>
                      </m:e>
                      <m:e>
                        <m:r>
                          <m:rPr>
                            <m:nor/>
                            <m:sty m:val="p"/>
                          </m:rPr>
                          <m:t>if </m:t>
                        </m:r>
                        <m:r>
                          <m:t>d</m:t>
                        </m:r>
                        <m:r>
                          <m:t>a</m:t>
                        </m:r>
                        <m:r>
                          <m:t>y</m:t>
                        </m:r>
                        <m:r>
                          <m:t>s</m:t>
                        </m:r>
                        <m:r>
                          <m:rPr>
                            <m:sty m:val="p"/>
                          </m:rPr>
                          <m:t>≥</m:t>
                        </m:r>
                        <m:r>
                          <m:t>0</m:t>
                        </m:r>
                        <m:r>
                          <m:rPr>
                            <m:sty m:val="p"/>
                          </m:rPr>
                          <m:t>;</m:t>
                        </m:r>
                      </m:e>
                    </m:mr>
                    <m:mr>
                      <m:e>
                        <m:r>
                          <m:t>d</m:t>
                        </m:r>
                        <m:r>
                          <m:t>a</m:t>
                        </m:r>
                        <m:r>
                          <m:t>y</m:t>
                        </m:r>
                        <m:r>
                          <m:t>s</m:t>
                        </m:r>
                        <m:r>
                          <m:rPr>
                            <m:sty m:val="p"/>
                          </m:rPr>
                          <m:t>−</m:t>
                        </m:r>
                        <m:r>
                          <m:t>146096</m:t>
                        </m:r>
                      </m:e>
                      <m:e>
                        <m:r>
                          <m:rPr>
                            <m:nor/>
                            <m:sty m:val="p"/>
                          </m:rPr>
                          <m:t>otherwise.</m:t>
                        </m:r>
                      </m:e>
                    </m:mr>
                  </m:m>
                </m:e>
              </m:d>
            </m:num>
            <m:den>
              <m:r>
                <m:t>146097</m:t>
              </m:r>
            </m:den>
          </m:f>
          <m:r>
            <m:t>  </m:t>
          </m:r>
          <m:d>
            <m:dPr>
              <m:begChr m:val="("/>
              <m:endChr m:val=")"/>
              <m:sepChr m:val=""/>
              <m:grow/>
            </m:dPr>
            <m:e>
              <m:r>
                <m:t>10</m:t>
              </m:r>
            </m:e>
          </m:d>
        </m:oMath>
      </m:oMathPara>
      <w:bookmarkEnd w:id="170"/>
    </w:p>
    <w:p>
      <w:pPr>
        <w:pStyle w:val="FirstParagraph"/>
      </w:pPr>
      <w:bookmarkStart w:id="171" w:name="eq-doe"/>
      <m:oMathPara>
        <m:oMathParaPr>
          <m:jc m:val="center"/>
        </m:oMathParaPr>
        <m:oMath>
          <m:r>
            <m:t>d</m:t>
          </m:r>
          <m:r>
            <m:t>o</m:t>
          </m:r>
          <m:r>
            <m:t>e</m:t>
          </m:r>
          <m:r>
            <m:rPr>
              <m:sty m:val="p"/>
            </m:rPr>
            <m:t>=</m:t>
          </m:r>
          <m:r>
            <m:t>d</m:t>
          </m:r>
          <m:r>
            <m:t>a</m:t>
          </m:r>
          <m:r>
            <m:t>y</m:t>
          </m:r>
          <m:r>
            <m:t>s</m:t>
          </m:r>
          <m:r>
            <m:rPr>
              <m:sty m:val="p"/>
            </m:rPr>
            <m:t>−</m:t>
          </m:r>
          <m:r>
            <m:t>e</m:t>
          </m:r>
          <m:r>
            <m:t>r</m:t>
          </m:r>
          <m:r>
            <m:t>a</m:t>
          </m:r>
          <m:r>
            <m:rPr>
              <m:sty m:val="p"/>
            </m:rPr>
            <m:t>⋅</m:t>
          </m:r>
          <m:r>
            <m:t>146097</m:t>
          </m:r>
          <m:r>
            <m:t>  </m:t>
          </m:r>
          <m:d>
            <m:dPr>
              <m:begChr m:val="("/>
              <m:endChr m:val=")"/>
              <m:sepChr m:val=""/>
              <m:grow/>
            </m:dPr>
            <m:e>
              <m:r>
                <m:t>11</m:t>
              </m:r>
            </m:e>
          </m:d>
        </m:oMath>
      </m:oMathPara>
      <w:bookmarkEnd w:id="171"/>
    </w:p>
    <w:p>
      <w:pPr>
        <w:pStyle w:val="FirstParagraph"/>
      </w:pPr>
      <w:bookmarkStart w:id="172" w:name="eq-year"/>
      <m:oMathPara>
        <m:oMathParaPr>
          <m:jc m:val="center"/>
        </m:oMathParaPr>
        <m:oMath>
          <m:r>
            <m:t>y</m:t>
          </m:r>
          <m:r>
            <m:t>e</m:t>
          </m:r>
          <m:r>
            <m:t>a</m:t>
          </m:r>
          <m:r>
            <m:t>r</m:t>
          </m:r>
          <m:r>
            <m:rPr>
              <m:sty m:val="p"/>
            </m:rPr>
            <m:t>=</m:t>
          </m:r>
          <m:r>
            <m:rPr>
              <m:sty m:val="p"/>
            </m:rPr>
            <m:t>⌊</m:t>
          </m:r>
          <m:f>
            <m:fPr>
              <m:type m:val="bar"/>
            </m:fPr>
            <m:num>
              <m:r>
                <m:t>d</m:t>
              </m:r>
              <m:r>
                <m:t>o</m:t>
              </m:r>
              <m:r>
                <m:t>e</m:t>
              </m:r>
              <m:r>
                <m:rPr>
                  <m:sty m:val="p"/>
                </m:rPr>
                <m:t>−</m:t>
              </m:r>
              <m:f>
                <m:fPr>
                  <m:type m:val="bar"/>
                </m:fPr>
                <m:num>
                  <m:r>
                    <m:t>d</m:t>
                  </m:r>
                  <m:r>
                    <m:t>o</m:t>
                  </m:r>
                  <m:r>
                    <m:t>e</m:t>
                  </m:r>
                </m:num>
                <m:den>
                  <m:r>
                    <m:t>1460</m:t>
                  </m:r>
                </m:den>
              </m:f>
              <m:r>
                <m:rPr>
                  <m:sty m:val="p"/>
                </m:rPr>
                <m:t>+</m:t>
              </m:r>
              <m:f>
                <m:fPr>
                  <m:type m:val="bar"/>
                </m:fPr>
                <m:num>
                  <m:r>
                    <m:t>d</m:t>
                  </m:r>
                  <m:r>
                    <m:t>o</m:t>
                  </m:r>
                  <m:r>
                    <m:t>e</m:t>
                  </m:r>
                </m:num>
                <m:den>
                  <m:r>
                    <m:t>36524</m:t>
                  </m:r>
                </m:den>
              </m:f>
              <m:r>
                <m:rPr>
                  <m:sty m:val="p"/>
                </m:rPr>
                <m:t>−</m:t>
              </m:r>
              <m:f>
                <m:fPr>
                  <m:type m:val="bar"/>
                </m:fPr>
                <m:num>
                  <m:r>
                    <m:t>d</m:t>
                  </m:r>
                  <m:r>
                    <m:t>o</m:t>
                  </m:r>
                  <m:r>
                    <m:t>e</m:t>
                  </m:r>
                </m:num>
                <m:den>
                  <m:r>
                    <m:t>146096</m:t>
                  </m:r>
                </m:den>
              </m:f>
            </m:num>
            <m:den>
              <m:r>
                <m:t>365</m:t>
              </m:r>
            </m:den>
          </m:f>
          <m:r>
            <m:rPr>
              <m:sty m:val="p"/>
            </m:rPr>
            <m:t>⌋</m:t>
          </m:r>
          <m:r>
            <m:rPr>
              <m:sty m:val="p"/>
            </m:rPr>
            <m:t>+</m:t>
          </m:r>
          <m:r>
            <m:t>e</m:t>
          </m:r>
          <m:r>
            <m:t>r</m:t>
          </m:r>
          <m:r>
            <m:t>a</m:t>
          </m:r>
          <m:r>
            <m:rPr>
              <m:sty m:val="p"/>
            </m:rPr>
            <m:t>*</m:t>
          </m:r>
          <m:r>
            <m:t>400</m:t>
          </m:r>
          <m:r>
            <m:t>  </m:t>
          </m:r>
          <m:d>
            <m:dPr>
              <m:begChr m:val="("/>
              <m:endChr m:val=")"/>
              <m:sepChr m:val=""/>
              <m:grow/>
            </m:dPr>
            <m:e>
              <m:r>
                <m:t>12</m:t>
              </m:r>
            </m:e>
          </m:d>
        </m:oMath>
      </m:oMathPara>
      <w:bookmarkEnd w:id="172"/>
    </w:p>
    <w:p>
      <w:pPr>
        <w:pStyle w:val="FirstParagraph"/>
      </w:pPr>
      <w:bookmarkStart w:id="173" w:name="eq-doty"/>
      <m:oMathPara>
        <m:oMathParaPr>
          <m:jc m:val="center"/>
        </m:oMathParaPr>
        <m:oMath>
          <m:r>
            <m:t>d</m:t>
          </m:r>
          <m:r>
            <m:t>o</m:t>
          </m:r>
          <m:r>
            <m:t>t</m:t>
          </m:r>
          <m:r>
            <m:t>y</m:t>
          </m:r>
          <m:r>
            <m:rPr>
              <m:sty m:val="p"/>
            </m:rPr>
            <m:t>=</m:t>
          </m:r>
          <m:r>
            <m:rPr>
              <m:sty m:val="p"/>
            </m:rPr>
            <m:t>⌊</m:t>
          </m:r>
          <m:r>
            <m:t>d</m:t>
          </m:r>
          <m:r>
            <m:t>o</m:t>
          </m:r>
          <m:r>
            <m:t>e</m:t>
          </m:r>
          <m:r>
            <m:rPr>
              <m:sty m:val="p"/>
            </m:rPr>
            <m:t>−</m:t>
          </m:r>
          <m:d>
            <m:dPr>
              <m:begChr m:val="("/>
              <m:endChr m:val=")"/>
              <m:sepChr m:val=""/>
              <m:grow/>
            </m:dPr>
            <m:e>
              <m:r>
                <m:t>365</m:t>
              </m:r>
              <m:r>
                <m:rPr>
                  <m:sty m:val="p"/>
                </m:rPr>
                <m:t>⋅</m:t>
              </m:r>
              <m:r>
                <m:t>y</m:t>
              </m:r>
              <m:r>
                <m:t>e</m:t>
              </m:r>
              <m:r>
                <m:t>a</m:t>
              </m:r>
              <m:r>
                <m:t>r</m:t>
              </m:r>
              <m:r>
                <m:rPr>
                  <m:sty m:val="p"/>
                </m:rPr>
                <m:t>+</m:t>
              </m:r>
              <m:f>
                <m:fPr>
                  <m:type m:val="bar"/>
                </m:fPr>
                <m:num>
                  <m:r>
                    <m:t>y</m:t>
                  </m:r>
                  <m:r>
                    <m:t>e</m:t>
                  </m:r>
                  <m:r>
                    <m:t>a</m:t>
                  </m:r>
                  <m:r>
                    <m:t>r</m:t>
                  </m:r>
                </m:num>
                <m:den>
                  <m:r>
                    <m:t>4</m:t>
                  </m:r>
                </m:den>
              </m:f>
              <m:r>
                <m:rPr>
                  <m:sty m:val="p"/>
                </m:rPr>
                <m:t>−</m:t>
              </m:r>
              <m:f>
                <m:fPr>
                  <m:type m:val="bar"/>
                </m:fPr>
                <m:num>
                  <m:r>
                    <m:t>y</m:t>
                  </m:r>
                  <m:r>
                    <m:t>e</m:t>
                  </m:r>
                  <m:r>
                    <m:t>a</m:t>
                  </m:r>
                  <m:r>
                    <m:t>r</m:t>
                  </m:r>
                </m:num>
                <m:den>
                  <m:r>
                    <m:t>100</m:t>
                  </m:r>
                </m:den>
              </m:f>
              <m:r>
                <m:rPr>
                  <m:sty m:val="p"/>
                </m:rPr>
                <m:t>+</m:t>
              </m:r>
              <m:f>
                <m:fPr>
                  <m:type m:val="bar"/>
                </m:fPr>
                <m:num>
                  <m:r>
                    <m:t>y</m:t>
                  </m:r>
                  <m:r>
                    <m:t>e</m:t>
                  </m:r>
                  <m:r>
                    <m:t>a</m:t>
                  </m:r>
                  <m:r>
                    <m:t>r</m:t>
                  </m:r>
                </m:num>
                <m:den>
                  <m:r>
                    <m:t>400</m:t>
                  </m:r>
                </m:den>
              </m:f>
            </m:e>
          </m:d>
          <m:r>
            <m:rPr>
              <m:sty m:val="p"/>
            </m:rPr>
            <m:t>⌋</m:t>
          </m:r>
          <m:r>
            <m:t>  </m:t>
          </m:r>
          <m:d>
            <m:dPr>
              <m:begChr m:val="("/>
              <m:endChr m:val=")"/>
              <m:sepChr m:val=""/>
              <m:grow/>
            </m:dPr>
            <m:e>
              <m:r>
                <m:t>13</m:t>
              </m:r>
            </m:e>
          </m:d>
        </m:oMath>
      </m:oMathPara>
      <w:bookmarkEnd w:id="173"/>
    </w:p>
    <w:bookmarkEnd w:id="174"/>
    <w:bookmarkStart w:id="183" w:name="sec-unixt"/>
    <w:p>
      <w:pPr>
        <w:pStyle w:val="Heading3"/>
      </w:pPr>
      <w:r>
        <w:t xml:space="preserve">3.6.3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timestamp as shown in</w:t>
      </w:r>
      <w:r>
        <w:t xml:space="preserve"> </w:t>
      </w:r>
      <w:hyperlink w:anchor="eq-unixt">
        <w:r>
          <w:rPr>
            <w:rStyle w:val="Hyperlink"/>
          </w:rPr>
          <w:t xml:space="preserve">Equation 14</w:t>
        </w:r>
      </w:hyperlink>
      <w:r>
        <w:t xml:space="preserve"> </w:t>
      </w:r>
      <w:r>
        <w:t xml:space="preserve">The code in</w:t>
      </w:r>
      <w:r>
        <w:t xml:space="preserve"> </w:t>
      </w:r>
      <w:hyperlink w:anchor="exm-unixt">
        <w:r>
          <w:rPr>
            <w:rStyle w:val="Hyperlink"/>
          </w:rPr>
          <w:t xml:space="preserve">Example 11</w:t>
        </w:r>
      </w:hyperlink>
      <w:r>
        <w:t xml:space="preserve"> </w:t>
      </w:r>
      <w:r>
        <w:t xml:space="preserve">converts UNIX time into a</w:t>
      </w:r>
      <w:r>
        <w:t xml:space="preserve"> </w:t>
      </w:r>
      <w:r>
        <w:rPr>
          <w:rStyle w:val="VerbatimChar"/>
        </w:rPr>
        <w:t xml:space="preserve">Decalendar</w:t>
      </w:r>
      <w:r>
        <w:t xml:space="preserve"> </w:t>
      </w:r>
      <w:r>
        <w:t xml:space="preserve">date or a</w:t>
      </w:r>
      <w:r>
        <w:t xml:space="preserve"> </w:t>
      </w:r>
      <w:r>
        <w:rPr>
          <w:rStyle w:val="VerbatimChar"/>
        </w:rPr>
        <w:t xml:space="preserve">Decalendar</w:t>
      </w:r>
      <w:r>
        <w:t xml:space="preserve"> </w:t>
      </w:r>
      <w:r>
        <w:t xml:space="preserve">timestamp in the</w:t>
      </w:r>
      <w:r>
        <w:t xml:space="preserve"> </w:t>
      </w:r>
      <w:r>
        <w:rPr>
          <w:rStyle w:val="VerbatimChar"/>
        </w:rPr>
        <w:t xml:space="preserve">Zone 0</w:t>
      </w:r>
      <w:r>
        <w:t xml:space="preserve"> </w:t>
      </w:r>
      <w:r>
        <w:t xml:space="preserve">time zone. The last line in</w:t>
      </w:r>
      <w:r>
        <w:t xml:space="preserve"> </w:t>
      </w:r>
      <w:hyperlink w:anchor="exm-unixt">
        <w:r>
          <w:rPr>
            <w:rStyle w:val="Hyperlink"/>
          </w:rPr>
          <w:t xml:space="preserve">Example 11</w:t>
        </w:r>
      </w:hyperlink>
      <w:r>
        <w:t xml:space="preserve"> </w:t>
      </w:r>
      <w:r>
        <w:t xml:space="preserve">obtains the current</w:t>
      </w:r>
      <w:r>
        <w:t xml:space="preserve"> </w:t>
      </w:r>
      <w:r>
        <w:rPr>
          <w:rStyle w:val="VerbatimChar"/>
        </w:rPr>
        <w:t xml:space="preserve">Decalendar</w:t>
      </w:r>
      <w:r>
        <w:t xml:space="preserve"> </w:t>
      </w:r>
      <w:r>
        <w:t xml:space="preserve">date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should be the UNIX Epoch:</w:t>
      </w:r>
      <w:r>
        <w:t xml:space="preserve"> </w:t>
      </w:r>
      <w:r>
        <w:rPr>
          <w:rStyle w:val="VerbatimChar"/>
        </w:rPr>
        <w:t xml:space="preserve">1969+306</w:t>
      </w:r>
      <w:r>
        <w:t xml:space="preserve">. To see</w:t>
      </w:r>
      <w:r>
        <w:t xml:space="preserve"> </w:t>
      </w:r>
      <w:hyperlink w:anchor="exm-unixt">
        <w:r>
          <w:rPr>
            <w:rStyle w:val="Hyperlink"/>
          </w:rPr>
          <w:t xml:space="preserve">Example 11</w:t>
        </w:r>
      </w:hyperlink>
      <w:r>
        <w:t xml:space="preserve"> </w:t>
      </w:r>
      <w:r>
        <w:t xml:space="preserve">in action, visit this</w:t>
      </w:r>
      <w:r>
        <w:t xml:space="preserve"> </w:t>
      </w:r>
      <w:hyperlink r:id="rId175">
        <w:r>
          <w:rPr>
            <w:rStyle w:val="Hyperlink"/>
          </w:rPr>
          <w:t xml:space="preserve">CodePen</w:t>
        </w:r>
      </w:hyperlink>
      <w:r>
        <w:t xml:space="preserve"> </w:t>
      </w:r>
      <w:r>
        <w:t xml:space="preserve">which displays the current</w:t>
      </w:r>
      <w:r>
        <w:t xml:space="preserve"> </w:t>
      </w:r>
      <w:r>
        <w:rPr>
          <w:rStyle w:val="VerbatimChar"/>
        </w:rPr>
        <w:t xml:space="preserve">Decalendar</w:t>
      </w:r>
      <w:r>
        <w:t xml:space="preserve"> </w:t>
      </w:r>
      <w:r>
        <w:t xml:space="preserve">(</w:t>
      </w:r>
      <w:r>
        <w:rPr>
          <w:rStyle w:val="VerbatimChar"/>
        </w:rPr>
        <w:t xml:space="preserve">year+day.ddddd</w:t>
      </w:r>
      <w:r>
        <w:t xml:space="preserve">) and ISO 8601 (</w:t>
      </w:r>
      <w:r>
        <w:rPr>
          <w:rStyle w:val="VerbatimChar"/>
        </w:rPr>
        <w:t xml:space="preserve">year-mm-ddThh:mm:ss</w:t>
      </w:r>
      <w:r>
        <w:t xml:space="preserve">) timestamps.</w:t>
      </w:r>
    </w:p>
    <w:p>
      <w:pPr>
        <w:pStyle w:val="BodyText"/>
      </w:pPr>
      <w:bookmarkStart w:id="176"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14</m:t>
              </m:r>
            </m:e>
          </m:d>
        </m:oMath>
      </m:oMathPara>
      <w:bookmarkEnd w:id="176"/>
    </w:p>
    <w:bookmarkStart w:id="177" w:name="exm-unixt"/>
    <w:p>
      <w:pPr>
        <w:pStyle w:val="FirstParagraph"/>
      </w:pPr>
      <w:r>
        <w:rPr>
          <w:bCs/>
          <w:b/>
        </w:rPr>
        <w:t xml:space="preserve">Example 11</w:t>
      </w:r>
      <w:r>
        <w:rPr>
          <w:bCs/>
          <w:b/>
        </w:rPr>
        <w:t xml:space="preserve"> </w:t>
      </w:r>
      <w:r>
        <w:t xml:space="preserve"> </w:t>
      </w:r>
    </w:p>
    <w:bookmarkEnd w:id="177"/>
    <w:p>
      <w:pPr>
        <w:pStyle w:val="Heading4"/>
      </w:pPr>
      <w:r>
        <w:t xml:space="preserve">JavaScript</w:t>
      </w:r>
    </w:p>
    <w:bookmarkStart w:id="178"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2023+217.72571+0</w:t>
      </w:r>
    </w:p>
    <w:bookmarkEnd w:id="178"/>
    <w:p>
      <w:pPr>
        <w:pStyle w:val="Heading4"/>
      </w:pPr>
      <w:r>
        <w:t xml:space="preserve">Julia</w:t>
      </w:r>
    </w:p>
    <w:bookmarkStart w:id="179" w:name="unix"/>
    <w:p>
      <w:pPr>
        <w:pStyle w:val="Heading5"/>
      </w:pPr>
      <w:r>
        <w:rPr>
          <w:rStyle w:val="VerbatimChar"/>
        </w:rPr>
        <w:t xml:space="preserve">unix</w:t>
      </w:r>
    </w:p>
    <w:bookmarkEnd w:id="179"/>
    <w:bookmarkStart w:id="180"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"2023+217.72584+0"</w:t>
      </w:r>
    </w:p>
    <w:bookmarkEnd w:id="180"/>
    <w:p>
      <w:pPr>
        <w:pStyle w:val="Heading4"/>
      </w:pPr>
      <w:r>
        <w:t xml:space="preserve">Python</w:t>
      </w:r>
    </w:p>
    <w:bookmarkStart w:id="181"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'2023+217.72594+0'</w:t>
      </w:r>
    </w:p>
    <w:bookmarkEnd w:id="181"/>
    <w:p>
      <w:pPr>
        <w:pStyle w:val="Heading4"/>
      </w:pPr>
      <w:r>
        <w:t xml:space="preserve">R</w:t>
      </w:r>
    </w:p>
    <w:bookmarkStart w:id="182"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182"/>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183"/>
    <w:bookmarkStart w:id="184" w:name="sec-unixb"/>
    <w:p>
      <w:pPr>
        <w:pStyle w:val="Heading3"/>
      </w:pPr>
      <w:r>
        <w:t xml:space="preserve">3.6.4 Building timestamps</w:t>
      </w:r>
    </w:p>
    <w:p>
      <w:pPr>
        <w:pStyle w:val="FirstParagraph"/>
      </w:pPr>
      <w:r>
        <w:t xml:space="preserve">The code in</w:t>
      </w:r>
      <w:r>
        <w:t xml:space="preserve"> </w:t>
      </w:r>
      <w:hyperlink w:anchor="exm-unixt">
        <w:r>
          <w:rPr>
            <w:rStyle w:val="Hyperlink"/>
          </w:rPr>
          <w:t xml:space="preserve">Example 11</w:t>
        </w:r>
      </w:hyperlink>
      <w:r>
        <w:t xml:space="preserve"> </w:t>
      </w:r>
      <w:r>
        <w:t xml:space="preserve">creates a</w:t>
      </w:r>
      <w:r>
        <w:t xml:space="preserve"> </w:t>
      </w:r>
      <w:r>
        <w:rPr>
          <w:rStyle w:val="VerbatimChar"/>
        </w:rPr>
        <w:t xml:space="preserve">Decalendar</w:t>
      </w:r>
      <w:r>
        <w:t xml:space="preserve"> </w:t>
      </w:r>
      <w:r>
        <w:t xml:space="preserve">timestamp from UNIX time.</w:t>
      </w:r>
    </w:p>
    <w:bookmarkEnd w:id="184"/>
    <w:bookmarkStart w:id="186" w:name="sec-unixp"/>
    <w:p>
      <w:pPr>
        <w:pStyle w:val="Heading3"/>
      </w:pPr>
      <w:r>
        <w:t xml:space="preserve">3.6.5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12</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185" w:name="exm-isos"/>
    <w:p>
      <w:pPr>
        <w:pStyle w:val="BodyText"/>
      </w:pPr>
      <w:r>
        <w:rPr>
          <w:bCs/>
          <w:b/>
        </w:rPr>
        <w:t xml:space="preserve">Example 12</w:t>
      </w:r>
      <w:r>
        <w:rPr>
          <w:bCs/>
          <w:b/>
        </w:rPr>
        <w:t xml:space="preserve"> </w:t>
      </w:r>
      <w:r>
        <w:t xml:space="preserve"> </w:t>
      </w:r>
    </w:p>
    <w:bookmarkEnd w:id="185"/>
    <w:bookmarkEnd w:id="186"/>
    <w:bookmarkEnd w:id="187"/>
    <w:bookmarkEnd w:id="188"/>
    <w:bookmarkStart w:id="196" w:name="sec-basics"/>
    <w:p>
      <w:pPr>
        <w:pStyle w:val="Heading1"/>
      </w:pPr>
      <w:r>
        <w:t xml:space="preserve">4. Basic concepts</w:t>
      </w:r>
    </w:p>
    <w:bookmarkStart w:id="189" w:name="sec-frac"/>
    <w:p>
      <w:pPr>
        <w:pStyle w:val="Heading2"/>
      </w:pPr>
      <w:r>
        <w:t xml:space="preserve">4.1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w:t>
      </w:r>
    </w:p>
    <w:p>
      <w:pPr>
        <w:pStyle w:val="BodyText"/>
      </w:pPr>
      <w:r>
        <w:t xml:space="preserve">To avoid any confusion between the two, we can say</w:t>
      </w:r>
      <w:r>
        <w:t xml:space="preserve"> </w:t>
      </w:r>
      <w:r>
        <w:t xml:space="preserve">“</w:t>
      </w:r>
      <w:r>
        <w:rPr>
          <w:rStyle w:val="VerbatimChar"/>
        </w:rP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 of the 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 fractional days 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189"/>
    <w:bookmarkStart w:id="191" w:name="sec-imp"/>
    <w:p>
      <w:pPr>
        <w:pStyle w:val="Heading2"/>
      </w:pPr>
      <w:r>
        <w:t xml:space="preserve">4.2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w:r>
        <w:rPr>
          <w:rStyle w:val="VerbatimChar"/>
        </w:rPr>
        <w:t xml:space="preserve">.5±.05</w:t>
      </w:r>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w:r>
        <w:rPr>
          <w:rStyle w:val="VerbatimChar"/>
        </w:rPr>
        <w:t xml:space="preserve">[.45, .55)</w:t>
      </w:r>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w:r>
        <w:rPr>
          <w:rStyle w:val="VerbatimChar"/>
        </w:rPr>
        <w:t xml:space="preserve">[.5, .6)</w:t>
      </w:r>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190">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rPr>
          <w:rStyle w:val="VerbatimChar"/>
        </w:rP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rPr>
          <w:rStyle w:val="VerbatimChar"/>
        </w:rPr>
        <w:t xml:space="preserve">Dot 5 Sharp</w:t>
      </w:r>
      <w:r>
        <w:t xml:space="preserve">”</w:t>
      </w:r>
      <w:r>
        <w:t xml:space="preserve"> </w:t>
      </w:r>
      <w:r>
        <w:t xml:space="preserve">or write</w:t>
      </w:r>
      <w:r>
        <w:t xml:space="preserve"> </w:t>
      </w:r>
      <w:r>
        <w:rPr>
          <w:rStyle w:val="VerbatimChar"/>
        </w:rPr>
        <w:t xml:space="preserve">.5#</w:t>
      </w:r>
      <w:r>
        <w:t xml:space="preserve">.</w:t>
      </w:r>
    </w:p>
    <w:bookmarkEnd w:id="191"/>
    <w:bookmarkStart w:id="192" w:name="sec-context"/>
    <w:p>
      <w:pPr>
        <w:pStyle w:val="Heading2"/>
      </w:pPr>
      <w:r>
        <w:t xml:space="preserve">4.3 Context clues</w:t>
      </w:r>
    </w:p>
    <w:p>
      <w:pPr>
        <w:pStyle w:val="FirstParagraph"/>
      </w:pPr>
      <w:r>
        <w:t xml:space="preserve">Not saying</w:t>
      </w:r>
      <w:r>
        <w:t xml:space="preserve"> </w:t>
      </w:r>
      <w:r>
        <w:t xml:space="preserve">“</w:t>
      </w:r>
      <w:r>
        <w:rPr>
          <w:rStyle w:val="VerbatimChar"/>
        </w:rPr>
        <w:t xml:space="preserve">Day</w:t>
      </w:r>
      <w:r>
        <w:t xml:space="preserve">”</w:t>
      </w:r>
      <w:r>
        <w:t xml:space="preserve"> </w:t>
      </w:r>
      <w:r>
        <w:t xml:space="preserve">or</w:t>
      </w:r>
      <w:r>
        <w:t xml:space="preserve"> </w:t>
      </w:r>
      <w:r>
        <w:t xml:space="preserve">“</w:t>
      </w:r>
      <w:r>
        <w:rPr>
          <w:rStyle w:val="VerbatimChar"/>
        </w:rP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w:t>
      </w:r>
      <w:r>
        <w:t xml:space="preserve">date, but such dates would be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192"/>
    <w:bookmarkStart w:id="193" w:name="sec-stamp"/>
    <w:p>
      <w:pPr>
        <w:pStyle w:val="Heading2"/>
      </w:pPr>
      <w:r>
        <w:t xml:space="preserve">4.4</w:t>
      </w:r>
      <w:r>
        <w:t xml:space="preserve"> </w:t>
      </w:r>
      <w:r>
        <w:rPr>
          <w:rStyle w:val="VerbatimChar"/>
        </w:rPr>
        <w:t xml:space="preserve">Stamps</w:t>
      </w:r>
    </w:p>
    <w:p>
      <w:pPr>
        <w:pStyle w:val="FirstParagraph"/>
      </w:pPr>
      <w:r>
        <w:t xml:space="preserve">If a date and a 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500</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500</w:t>
      </w:r>
      <w:r>
        <w:t xml:space="preserve">). In written form, this would be</w:t>
      </w:r>
      <w:r>
        <w:t xml:space="preserve"> </w:t>
      </w:r>
      <w:r>
        <w:rPr>
          <w:rStyle w:val="VerbatimChar"/>
        </w:rPr>
        <w:t xml:space="preserve">000.500</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000.500</w:t>
      </w:r>
      <w:r>
        <w:t xml:space="preserve">. Ideally, a stamp will include all of the information needed to identify a singular point in time, and thus should include a year and time zone.</w:t>
      </w:r>
    </w:p>
    <w:bookmarkEnd w:id="193"/>
    <w:bookmarkStart w:id="194" w:name="sec-specific"/>
    <w:p>
      <w:pPr>
        <w:pStyle w:val="Heading2"/>
      </w:pPr>
      <w:r>
        <w:t xml:space="preserve">4.5 Specific dates and times</w:t>
      </w:r>
    </w:p>
    <w:p>
      <w:pPr>
        <w:pStyle w:val="FirstParagraph"/>
      </w:pPr>
      <w:r>
        <w:t xml:space="preserve">The dates and times above assume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a day, rather than once in every time zone per day. The first</w:t>
      </w:r>
      <w:r>
        <w:t xml:space="preserve"> </w:t>
      </w:r>
      <w:r>
        <w:rPr>
          <w:rStyle w:val="VerbatimChar"/>
        </w:rPr>
        <w:t xml:space="preserve">doty</w:t>
      </w:r>
      <w:r>
        <w:t xml:space="preserve"> </w:t>
      </w:r>
      <w:r>
        <w:t xml:space="preserve">2000, would be written</w:t>
      </w:r>
      <w:r>
        <w:t xml:space="preserve"> </w:t>
      </w:r>
      <w:r>
        <w:rPr>
          <w:rStyle w:val="VerbatimChar"/>
        </w:rPr>
        <w:t xml:space="preserve">2000+000</w:t>
      </w:r>
      <w:r>
        <w:t xml:space="preserve"> </w:t>
      </w:r>
      <w:r>
        <w:t xml:space="preserve">and said</w:t>
      </w:r>
      <w:r>
        <w:t xml:space="preserve"> </w:t>
      </w:r>
      <w:r>
        <w:t xml:space="preserve">“</w:t>
      </w:r>
      <w:r>
        <w:rPr>
          <w:rStyle w:val="VerbatimChar"/>
        </w:rPr>
        <w:t xml:space="preserve">Year 2000 Day 0</w:t>
      </w:r>
      <w:r>
        <w:t xml:space="preserve">”</w:t>
      </w:r>
      <w:r>
        <w:t xml:space="preserve"> </w:t>
      </w:r>
      <w:r>
        <w:t xml:space="preserve">or simply</w:t>
      </w:r>
      <w:r>
        <w:t xml:space="preserve"> </w:t>
      </w:r>
      <w:r>
        <w:t xml:space="preserve">“</w:t>
      </w:r>
      <w:r>
        <w:rPr>
          <w:rStyle w:val="VerbatimChar"/>
        </w:rPr>
        <w:t xml:space="preserve">2000 0</w:t>
      </w:r>
      <w:r>
        <w:t xml:space="preserve">”</w:t>
      </w:r>
      <w:r>
        <w:t xml:space="preserve">, while noon in</w:t>
      </w:r>
      <w:r>
        <w:t xml:space="preserve"> </w:t>
      </w:r>
      <w:r>
        <w:rPr>
          <w:rStyle w:val="VerbatimChar"/>
        </w:rPr>
        <w:t xml:space="preserve">Zone 0</w:t>
      </w:r>
      <w:r>
        <w:t xml:space="preserve"> </w:t>
      </w:r>
      <w:r>
        <w:t xml:space="preserve">would be written</w:t>
      </w:r>
      <w:r>
        <w:t xml:space="preserve"> </w:t>
      </w:r>
      <w:r>
        <w:rPr>
          <w:rStyle w:val="VerbatimChar"/>
        </w:rPr>
        <w:t xml:space="preserve">.500+0</w:t>
      </w:r>
      <w:r>
        <w:t xml:space="preserve"> </w:t>
      </w:r>
      <w:r>
        <w:t xml:space="preserve">or</w:t>
      </w:r>
      <w:r>
        <w:t xml:space="preserve"> </w:t>
      </w:r>
      <w:r>
        <w:rPr>
          <w:rStyle w:val="VerbatimChar"/>
        </w:rPr>
        <w:t xml:space="preserve">500+0</w:t>
      </w:r>
      <w:r>
        <w:t xml:space="preserve"> </w:t>
      </w:r>
      <w:r>
        <w:t xml:space="preserve">and said</w:t>
      </w:r>
      <w:r>
        <w:t xml:space="preserve"> </w:t>
      </w:r>
      <w:r>
        <w:t xml:space="preserve">“</w:t>
      </w:r>
      <w:r>
        <w:rPr>
          <w:rStyle w:val="VerbatimChar"/>
        </w:rPr>
        <w:t xml:space="preserve">Dot 500 Zone 0</w:t>
      </w:r>
      <w:r>
        <w:t xml:space="preserve">”</w:t>
      </w:r>
      <w:r>
        <w:t xml:space="preserve">,</w:t>
      </w:r>
      <w:r>
        <w:t xml:space="preserve"> </w:t>
      </w:r>
      <w:r>
        <w:t xml:space="preserve">“</w:t>
      </w:r>
      <w:r>
        <w:rPr>
          <w:rStyle w:val="VerbatimChar"/>
        </w:rPr>
        <w:t xml:space="preserve">500 Zone 0</w:t>
      </w:r>
      <w:r>
        <w:t xml:space="preserve">”</w:t>
      </w:r>
      <w:r>
        <w:t xml:space="preserve">, or</w:t>
      </w:r>
      <w:r>
        <w:t xml:space="preserve"> </w:t>
      </w:r>
      <w:r>
        <w:t xml:space="preserve">“</w:t>
      </w:r>
      <w:r>
        <w:rPr>
          <w:rStyle w:val="VerbatimChar"/>
        </w:rPr>
        <w:t xml:space="preserve">500 0</w:t>
      </w:r>
      <w:r>
        <w:t xml:space="preserve">”</w:t>
      </w:r>
      <w:r>
        <w:t xml:space="preserve">.</w:t>
      </w:r>
    </w:p>
    <w:bookmarkEnd w:id="194"/>
    <w:bookmarkStart w:id="195" w:name="sec-neg"/>
    <w:p>
      <w:pPr>
        <w:pStyle w:val="Heading2"/>
      </w:pPr>
      <w:r>
        <w:t xml:space="preserve">4.6 Negative numbers</w:t>
      </w:r>
    </w:p>
    <w:p>
      <w:pPr>
        <w:pStyle w:val="FirstParagraph"/>
      </w:pPr>
      <w:r>
        <w:t xml:space="preserve">The plus signs in the date and time above indicate that the</w:t>
      </w:r>
      <w:r>
        <w:t xml:space="preserve"> </w:t>
      </w:r>
      <w:r>
        <w:rPr>
          <w:rStyle w:val="VerbatimChar"/>
        </w:rPr>
        <w:t xml:space="preserve">doty</w:t>
      </w:r>
      <w:r>
        <w:t xml:space="preserve"> </w:t>
      </w:r>
      <w:r>
        <w:t xml:space="preserve">date and the time zone can also be negative. In fact, all of the units above can be negative. A negative year is before 1 BCE (Before Common Era) and a negative time zone is West of</w:t>
      </w:r>
      <w:r>
        <w:t xml:space="preserve"> </w:t>
      </w:r>
      <w:r>
        <w:rPr>
          <w:rStyle w:val="VerbatimChar"/>
        </w:rPr>
        <w:t xml:space="preserve">Zone 0</w:t>
      </w:r>
      <w:r>
        <w:t xml:space="preserve">. Negative dates and times show the number of parts that are left in the whole (day or year). To extend the fractions analogy used above to negative numbers, the negative number added to the whole gives us the numerator of the positive fraction. Essentially, these numbers arrive at the same answer from opposite directions.</w:t>
      </w:r>
    </w:p>
    <w:p>
      <w:pPr>
        <w:pStyle w:val="BodyText"/>
      </w:pPr>
      <w:r>
        <w:t xml:space="preserve">Negative</w:t>
      </w:r>
      <w:r>
        <w:t xml:space="preserve"> </w:t>
      </w:r>
      <w:r>
        <w:rPr>
          <w:rStyle w:val="VerbatimChar"/>
        </w:rPr>
        <w:t xml:space="preserve">doty</w:t>
      </w:r>
      <w:r>
        <w:t xml:space="preserve"> </w:t>
      </w:r>
      <w:r>
        <w:t xml:space="preserve">numbers can be especially useful at the end of the year, because</w:t>
      </w:r>
      <w:r>
        <w:t xml:space="preserve"> </w:t>
      </w:r>
      <w:r>
        <w:rPr>
          <w:rStyle w:val="VerbatimChar"/>
        </w:rPr>
        <w:t xml:space="preserve">Day -1</w:t>
      </w:r>
      <w:r>
        <w:t xml:space="preserve"> </w:t>
      </w:r>
      <w:r>
        <w:t xml:space="preserve">is always the last</w:t>
      </w:r>
      <w:r>
        <w:t xml:space="preserve"> </w:t>
      </w:r>
      <w:r>
        <w:rPr>
          <w:rStyle w:val="VerbatimChar"/>
        </w:rPr>
        <w:t xml:space="preserve">doty</w:t>
      </w:r>
      <w:r>
        <w:t xml:space="preserve">, regardless of whether the year has 365 or 366 days. 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w:t>
      </w:r>
      <w:r>
        <w:t xml:space="preserve"> </w:t>
      </w:r>
      <w:r>
        <w:rPr>
          <w:rStyle w:val="VerbatimChar"/>
        </w:rPr>
        <w:t xml:space="preserve">.y</w:t>
      </w:r>
      <w:r>
        <w:t xml:space="preserve"> </w:t>
      </w:r>
      <w:r>
        <w:t xml:space="preserve">format can include positive and negative numbers, most commonly in the form</w:t>
      </w:r>
      <w:r>
        <w:t xml:space="preserve"> </w:t>
      </w:r>
      <w:r>
        <w:rPr>
          <w:rStyle w:val="VerbatimChar"/>
        </w:rPr>
        <w:t xml:space="preserve">±year±day.day±z</w:t>
      </w:r>
      <w:r>
        <w:t xml:space="preserve">, where</w:t>
      </w:r>
      <w:r>
        <w:t xml:space="preserve"> </w:t>
      </w:r>
      <w:r>
        <w:rPr>
          <w:rStyle w:val="VerbatimChar"/>
        </w:rPr>
        <w:t xml:space="preserve">.day</w:t>
      </w:r>
      <w:r>
        <w:t xml:space="preserve"> </w:t>
      </w:r>
      <w:r>
        <w:t xml:space="preserve">is the time and</w:t>
      </w:r>
      <w:r>
        <w:t xml:space="preserve"> </w:t>
      </w:r>
      <w:r>
        <w:rPr>
          <w:rStyle w:val="VerbatimChar"/>
        </w:rPr>
        <w:t xml:space="preserve">z</w:t>
      </w:r>
      <w:r>
        <w:t xml:space="preserve"> </w:t>
      </w:r>
      <w:r>
        <w:t xml:space="preserve">is the time zone. The year is usually provided without a sign, because most people rarely discuss years before 1 BCE. The other two signs are required in written form, but plus signs can be omitted when speaking. For example, the</w:t>
      </w:r>
      <w:r>
        <w:t xml:space="preserve"> </w:t>
      </w:r>
      <w:r>
        <w:rPr>
          <w:rStyle w:val="VerbatimChar"/>
        </w:rPr>
        <w:t xml:space="preserve">stamp</w:t>
      </w:r>
      <w:r>
        <w:t xml:space="preserve"> </w:t>
      </w:r>
      <w:r>
        <w:rPr>
          <w:rStyle w:val="VerbatimChar"/>
        </w:rPr>
        <w:t xml:space="preserve">2000+000.500+0</w:t>
      </w:r>
      <w:r>
        <w:t xml:space="preserve"> </w:t>
      </w:r>
      <w:r>
        <w:t xml:space="preserve">is pronounced</w:t>
      </w:r>
      <w:r>
        <w:t xml:space="preserve"> </w:t>
      </w:r>
      <w:r>
        <w:t xml:space="preserve">“</w:t>
      </w:r>
      <w:r>
        <w:rPr>
          <w:rStyle w:val="VerbatimChar"/>
        </w:rPr>
        <w:t xml:space="preserve">Year 2000 Day 0 Dot 500 Zone 0</w:t>
      </w:r>
      <w:r>
        <w:t xml:space="preserve">”</w:t>
      </w:r>
      <w:r>
        <w:t xml:space="preserve"> </w:t>
      </w:r>
      <w:r>
        <w:t xml:space="preserve">or</w:t>
      </w:r>
      <w:r>
        <w:t xml:space="preserve"> </w:t>
      </w:r>
      <w:r>
        <w:t xml:space="preserve">“</w:t>
      </w:r>
      <w:r>
        <w:rPr>
          <w:rStyle w:val="VerbatimChar"/>
        </w:rPr>
        <w:t xml:space="preserve">2000 0 500 0</w:t>
      </w:r>
      <w:r>
        <w:t xml:space="preserve">”</w:t>
      </w:r>
      <w:r>
        <w:t xml:space="preserve">, while</w:t>
      </w:r>
      <w:r>
        <w:t xml:space="preserve"> </w:t>
      </w:r>
      <w:r>
        <w:rPr>
          <w:rStyle w:val="VerbatimChar"/>
        </w:rPr>
        <w:t xml:space="preserve">2000-366.600-1</w:t>
      </w:r>
      <w:r>
        <w:t xml:space="preserve"> </w:t>
      </w:r>
      <w:r>
        <w:t xml:space="preserve">(the same</w:t>
      </w:r>
      <w:r>
        <w:t xml:space="preserve"> </w:t>
      </w:r>
      <w:r>
        <w:rPr>
          <w:rStyle w:val="VerbatimChar"/>
        </w:rPr>
        <w:t xml:space="preserve">stamp</w:t>
      </w:r>
      <w:r>
        <w:t xml:space="preserve"> </w:t>
      </w:r>
      <w:r>
        <w:t xml:space="preserve">in negative form and in</w:t>
      </w:r>
      <w:r>
        <w:t xml:space="preserve"> </w:t>
      </w:r>
      <w:r>
        <w:rPr>
          <w:rStyle w:val="VerbatimChar"/>
        </w:rPr>
        <w:t xml:space="preserve">Zone -1</w:t>
      </w:r>
      <w:r>
        <w:t xml:space="preserve">) would be said</w:t>
      </w:r>
      <w:r>
        <w:t xml:space="preserve"> </w:t>
      </w:r>
      <w:r>
        <w:t xml:space="preserve">“</w:t>
      </w:r>
      <w:r>
        <w:rPr>
          <w:rStyle w:val="VerbatimChar"/>
        </w:rPr>
        <w:t xml:space="preserve">Year 2000 Day Minus 366 Dot 600 Zone Minus 1</w:t>
      </w:r>
      <w:r>
        <w:t xml:space="preserve">”</w:t>
      </w:r>
      <w:r>
        <w:t xml:space="preserve"> </w:t>
      </w:r>
      <w:r>
        <w:t xml:space="preserve">or</w:t>
      </w:r>
      <w:r>
        <w:t xml:space="preserve"> </w:t>
      </w:r>
      <w:r>
        <w:t xml:space="preserve">“</w:t>
      </w:r>
      <w:r>
        <w:rPr>
          <w:rStyle w:val="VerbatimChar"/>
        </w:rPr>
        <w:t xml:space="preserve">2000 -366 600 -1</w:t>
      </w:r>
      <w:r>
        <w:t xml:space="preserve">”</w:t>
      </w:r>
      <w:r>
        <w:t xml:space="preserve">.</w:t>
      </w:r>
    </w:p>
    <w:bookmarkEnd w:id="195"/>
    <w:bookmarkEnd w:id="196"/>
    <w:bookmarkStart w:id="200" w:name="sec-unit"/>
    <w:p>
      <w:pPr>
        <w:pStyle w:val="Heading1"/>
      </w:pPr>
      <w:r>
        <w:t xml:space="preserve">5. Units</w:t>
      </w:r>
    </w:p>
    <w:p>
      <w:pPr>
        <w:pStyle w:val="FirstParagraph"/>
      </w:pPr>
      <w:r>
        <w:t xml:space="preserve">In the</w:t>
      </w:r>
      <w:r>
        <w:t xml:space="preserve"> </w:t>
      </w:r>
      <w:r>
        <w:rPr>
          <w:rStyle w:val="VerbatimChar"/>
        </w:rPr>
        <w:t xml:space="preserve">stamps</w:t>
      </w:r>
      <w:r>
        <w:t xml:space="preserve"> </w:t>
      </w:r>
      <w:r>
        <w:t xml:space="preserve">above, the time has 3 digits, because this is the best level of precision for displaying time on clocks and watches, but 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7</w:t>
        </w:r>
      </w:hyperlink>
      <w:r>
        <w:t xml:space="preserve">, highlights the relationship between the two:</w:t>
      </w:r>
    </w:p>
    <w:bookmarkStart w:id="199" w:name="tbl-unit"/>
    <w:p>
      <w:pPr>
        <w:pStyle w:val="Heading4"/>
      </w:pPr>
      <w:hyperlink w:anchor="tbl-unit">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97" w:name="tbl-unit"/>
          <w:p>
            <w:pPr>
              <w:pStyle w:val="TableCaption"/>
            </w:pPr>
            <w:r>
              <w:t xml:space="preserve">Table 7: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7: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197"/>
        </w:tc>
      </w:tr>
    </w:tbl>
    <w:p>
      <w:pPr>
        <w:pStyle w:val="BodyText"/>
      </w:pPr>
      <w:r>
        <w:t xml:space="preserve">In</w:t>
      </w:r>
      <w:r>
        <w:t xml:space="preserve"> </w:t>
      </w:r>
      <w:hyperlink w:anchor="tbl-unit">
        <w:r>
          <w:rPr>
            <w:rStyle w:val="Hyperlink"/>
          </w:rPr>
          <w:t xml:space="preserve">Table 7</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7</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198">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199"/>
    <w:bookmarkEnd w:id="200"/>
    <w:bookmarkStart w:id="203" w:name="sec-zone"/>
    <w:p>
      <w:pPr>
        <w:pStyle w:val="Heading1"/>
      </w:pPr>
      <w:r>
        <w:t xml:space="preserve">6.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2000-365.800+4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1999-001.500-3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201">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202">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203"/>
    <w:bookmarkStart w:id="248" w:name="sec-format"/>
    <w:p>
      <w:pPr>
        <w:pStyle w:val="Heading1"/>
      </w:pPr>
      <w:r>
        <w:t xml:space="preserve">7.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8</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05" w:name="tbl-format"/>
    <w:p>
      <w:pPr>
        <w:pStyle w:val="Heading4"/>
      </w:pPr>
      <w:hyperlink w:anchor="tbl-forma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04" w:name="tbl-format"/>
          <w:p>
            <w:pPr>
              <w:pStyle w:val="TableCaption"/>
            </w:pPr>
            <w:r>
              <w:t xml:space="preserve">Table 8: The three dot formats</w:t>
            </w:r>
          </w:p>
          <w:tbl>
            <w:tblPr>
              <w:tblStyle w:val="Table"/>
              <w:tblW w:type="auto" w:w="0"/>
              <w:tblLook w:firstRow="1" w:lastRow="0" w:firstColumn="0" w:lastColumn="0" w:noHBand="0" w:noVBand="0" w:val="0020"/>
              <w:jc w:val="start"/>
              <w:tblCaption w:val="Table 8: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04"/>
        </w:tc>
      </w:tr>
    </w:tbl>
    <w:p>
      <w:pPr>
        <w:pStyle w:val="BodyText"/>
      </w:pPr>
      <w:r>
        <w:t xml:space="preserve">In</w:t>
      </w:r>
      <w:r>
        <w:t xml:space="preserve"> </w:t>
      </w:r>
      <w:hyperlink w:anchor="tbl-format">
        <w:r>
          <w:rPr>
            <w:rStyle w:val="Hyperlink"/>
          </w:rPr>
          <w:t xml:space="preserve">Table 8</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05"/>
    <w:bookmarkStart w:id="211" w:name="sec-dotm"/>
    <w:p>
      <w:pPr>
        <w:pStyle w:val="Heading2"/>
      </w:pPr>
      <w:r>
        <w:t xml:space="preserve">7.1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06">
        <w:r>
          <w:rPr>
            <w:rStyle w:val="Hyperlink"/>
          </w:rPr>
          <w:t xml:space="preserve">hexadecimal</w:t>
        </w:r>
      </w:hyperlink>
      <w:r>
        <w:t xml:space="preserve"> </w:t>
      </w:r>
      <w:r>
        <w:t xml:space="preserve">form (Base16 encoded). This means that the first 10 months are represented by the numbers 0 through 9 (</w:t>
      </w:r>
      <w:hyperlink r:id="rId84">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01">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07">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08">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w:t>
      </w:r>
      <w:r>
        <w:t xml:space="preserve"> </w:t>
      </w:r>
      <w:r>
        <w:rPr>
          <w:rStyle w:val="VerbatimChar"/>
        </w:rPr>
        <w:t xml:space="preserve">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15</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16</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09"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15</m:t>
              </m:r>
            </m:e>
          </m:d>
        </m:oMath>
      </m:oMathPara>
      <w:bookmarkEnd w:id="209"/>
    </w:p>
    <w:p>
      <w:pPr>
        <w:pStyle w:val="FirstParagraph"/>
      </w:pPr>
      <w:bookmarkStart w:id="210"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16</m:t>
              </m:r>
            </m:e>
          </m:d>
        </m:oMath>
      </m:oMathPara>
      <w:bookmarkEnd w:id="210"/>
    </w:p>
    <w:bookmarkEnd w:id="211"/>
    <w:bookmarkStart w:id="214" w:name="sec-dotw"/>
    <w:p>
      <w:pPr>
        <w:pStyle w:val="Heading2"/>
      </w:pPr>
      <w:r>
        <w:t xml:space="preserve">7.2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9</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13" w:name="tbl-dotw"/>
    <w:p>
      <w:pPr>
        <w:pStyle w:val="Heading4"/>
      </w:pPr>
      <w:hyperlink w:anchor="tbl-dotw">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12" w:name="tbl-dotw"/>
          <w:p>
            <w:pPr>
              <w:pStyle w:val="TableCaption"/>
            </w:pPr>
            <w:r>
              <w:t xml:space="preserve">Table 9: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9: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12"/>
        </w:tc>
      </w:tr>
    </w:tbl>
    <w:bookmarkEnd w:id="213"/>
    <w:bookmarkEnd w:id="214"/>
    <w:bookmarkStart w:id="217" w:name="sec-dotex"/>
    <w:p>
      <w:pPr>
        <w:pStyle w:val="Heading2"/>
      </w:pPr>
      <w:r>
        <w:t xml:space="preserve">7.3 Dot format examples</w:t>
      </w:r>
    </w:p>
    <w:p>
      <w:pPr>
        <w:pStyle w:val="FirstParagraph"/>
      </w:pPr>
      <w:hyperlink w:anchor="tbl-dotex">
        <w:r>
          <w:rPr>
            <w:rStyle w:val="Hyperlink"/>
          </w:rPr>
          <w:t xml:space="preserve">Table 10</w:t>
        </w:r>
      </w:hyperlink>
      <w:r>
        <w:t xml:space="preserve"> </w:t>
      </w:r>
      <w:r>
        <w:t xml:space="preserve">builds on the example from</w:t>
      </w:r>
      <w:r>
        <w:t xml:space="preserve"> </w:t>
      </w:r>
      <w:hyperlink w:anchor="sec-zone">
        <w:r>
          <w:rPr>
            <w:rStyle w:val="Hyperlink"/>
          </w:rPr>
          <w:t xml:space="preserve">Section 6</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16" w:name="tbl-dotex"/>
    <w:p>
      <w:pPr>
        <w:pStyle w:val="Heading4"/>
      </w:pPr>
      <w:hyperlink w:anchor="tbl-dotex">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15" w:name="tbl-dotex"/>
          <w:p>
            <w:pPr>
              <w:pStyle w:val="TableCaption"/>
            </w:pPr>
            <w:r>
              <w:t xml:space="preserve">Table 10: The time in Mexico City, London, and Tokyo in all three dot formats</w:t>
            </w:r>
          </w:p>
          <w:tbl>
            <w:tblPr>
              <w:tblStyle w:val="Table"/>
              <w:tblW w:type="pct" w:w="5000"/>
              <w:tblLook w:firstRow="1" w:lastRow="0" w:firstColumn="0" w:lastColumn="0" w:noHBand="0" w:noVBand="0" w:val="0020"/>
              <w:jc w:val="start"/>
              <w:tblCaption w:val="Table 10: The time in Mexico City, London, and Tokyo in all three dot formats"/>
            </w:tblPr>
            <w:tblGrid>
              <w:gridCol w:w="1208"/>
              <w:gridCol w:w="671"/>
              <w:gridCol w:w="2013"/>
              <w:gridCol w:w="2013"/>
              <w:gridCol w:w="2013"/>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15"/>
        </w:tc>
      </w:tr>
    </w:tbl>
    <w:p>
      <w:pPr>
        <w:pStyle w:val="BodyText"/>
      </w:pPr>
      <w:r>
        <w:t xml:space="preserve">In</w:t>
      </w:r>
      <w:r>
        <w:t xml:space="preserve"> </w:t>
      </w:r>
      <w:hyperlink w:anchor="tbl-dotex">
        <w:r>
          <w:rPr>
            <w:rStyle w:val="Hyperlink"/>
          </w:rPr>
          <w:t xml:space="preserve">Table 10</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rPr>
          <w:rStyle w:val="VerbatimChar"/>
        </w:rPr>
        <w:t xml:space="preserve">Year 1999 Month B Day 29</w:t>
      </w:r>
      <w:r>
        <w:t xml:space="preserve">”</w:t>
      </w:r>
      <w:r>
        <w:t xml:space="preserve"> </w:t>
      </w:r>
      <w:r>
        <w:t xml:space="preserve">or</w:t>
      </w:r>
      <w:r>
        <w:t xml:space="preserve"> </w:t>
      </w:r>
      <w:r>
        <w:t xml:space="preserve">“</w:t>
      </w:r>
      <w:r>
        <w:rPr>
          <w:rStyle w:val="VerbatimChar"/>
        </w:rPr>
        <w:t xml:space="preserve">Year 1999 Month -1 Day -1</w:t>
      </w:r>
      <w:r>
        <w:t xml:space="preserve">”</w:t>
      </w:r>
      <w:r>
        <w:t xml:space="preserve"> </w:t>
      </w:r>
      <w:r>
        <w:t xml:space="preserve">and the Tokyo date as</w:t>
      </w:r>
      <w:r>
        <w:t xml:space="preserve"> </w:t>
      </w:r>
      <w:r>
        <w:t xml:space="preserve">“</w:t>
      </w:r>
      <w:r>
        <w:rPr>
          <w:rStyle w:val="VerbatimChar"/>
        </w:rPr>
        <w:t xml:space="preserve">Year 2000 Month 0 Day 0</w:t>
      </w:r>
      <w:r>
        <w:t xml:space="preserve">”</w:t>
      </w:r>
      <w:r>
        <w:t xml:space="preserve"> </w:t>
      </w:r>
      <w:r>
        <w:t xml:space="preserve">or”</w:t>
      </w:r>
      <w:r>
        <w:t xml:space="preserve"> </w:t>
      </w:r>
      <w:r>
        <w:rPr>
          <w:rStyle w:val="VerbatimChar"/>
        </w:rPr>
        <w:t xml:space="preserve">Year 2000 Month -C Day -31</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10</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rPr>
          <w:rStyle w:val="VerbatimChar"/>
        </w:rPr>
        <w:t xml:space="preserve">Year 1999 Week 52 Day 2</w:t>
      </w:r>
      <w:r>
        <w:t xml:space="preserve">”</w:t>
      </w:r>
      <w:r>
        <w:t xml:space="preserve"> </w:t>
      </w:r>
      <w:r>
        <w:t xml:space="preserve">or</w:t>
      </w:r>
      <w:r>
        <w:t xml:space="preserve"> </w:t>
      </w:r>
      <w:r>
        <w:t xml:space="preserve">“</w:t>
      </w:r>
      <w:r>
        <w:rPr>
          <w:rStyle w:val="VerbatimChar"/>
        </w:rPr>
        <w:t xml:space="preserve">Year 1999 Week -1 Day -5</w:t>
      </w:r>
      <w:r>
        <w:t xml:space="preserve">”</w:t>
      </w:r>
      <w:r>
        <w:t xml:space="preserve">, while the date in Tokyo could be pronounced</w:t>
      </w:r>
      <w:r>
        <w:t xml:space="preserve"> </w:t>
      </w:r>
      <w:r>
        <w:t xml:space="preserve">“</w:t>
      </w:r>
      <w:r>
        <w:rPr>
          <w:rStyle w:val="VerbatimChar"/>
        </w:rPr>
        <w:t xml:space="preserve">Year 2000 Week 0 Day 3</w:t>
      </w:r>
      <w:r>
        <w:t xml:space="preserve">”</w:t>
      </w:r>
      <w:r>
        <w:t xml:space="preserve"> </w:t>
      </w:r>
      <w:r>
        <w:t xml:space="preserve">or</w:t>
      </w:r>
      <w:r>
        <w:t xml:space="preserve"> </w:t>
      </w:r>
      <w:r>
        <w:t xml:space="preserve">“</w:t>
      </w:r>
      <w:r>
        <w:rPr>
          <w:rStyle w:val="VerbatimChar"/>
        </w:rP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rPr>
          <w:rStyle w:val="VerbatimChar"/>
        </w:rPr>
        <w:t xml:space="preserve">Year 1999 Day 365</w:t>
      </w:r>
      <w:r>
        <w:t xml:space="preserve">”</w:t>
      </w:r>
      <w:r>
        <w:t xml:space="preserve"> </w:t>
      </w:r>
      <w:r>
        <w:t xml:space="preserve">or</w:t>
      </w:r>
      <w:r>
        <w:t xml:space="preserve"> </w:t>
      </w:r>
      <w:r>
        <w:t xml:space="preserve">“</w:t>
      </w:r>
      <w:r>
        <w:rPr>
          <w:rStyle w:val="VerbatimChar"/>
        </w:rPr>
        <w:t xml:space="preserve">Year 1999 Day -1</w:t>
      </w:r>
      <w:r>
        <w:t xml:space="preserve">”</w:t>
      </w:r>
      <w:r>
        <w:t xml:space="preserve"> </w:t>
      </w:r>
      <w:r>
        <w:t xml:space="preserve">and the spoken form of the Tokyo date is</w:t>
      </w:r>
      <w:r>
        <w:t xml:space="preserve"> </w:t>
      </w:r>
      <w:r>
        <w:t xml:space="preserve">“</w:t>
      </w:r>
      <w:r>
        <w:rPr>
          <w:rStyle w:val="VerbatimChar"/>
        </w:rPr>
        <w:t xml:space="preserve">Year 2000 Day 0</w:t>
      </w:r>
      <w:r>
        <w:t xml:space="preserve">”</w:t>
      </w:r>
      <w:r>
        <w:t xml:space="preserve"> </w:t>
      </w:r>
      <w:r>
        <w:t xml:space="preserve">or</w:t>
      </w:r>
      <w:r>
        <w:t xml:space="preserve"> </w:t>
      </w:r>
      <w:r>
        <w:t xml:space="preserve">“</w:t>
      </w:r>
      <w:r>
        <w:rPr>
          <w:rStyle w:val="VerbatimChar"/>
        </w:rPr>
        <w:t xml:space="preserve">Year 2000 Day -365</w:t>
      </w:r>
      <w:r>
        <w:t xml:space="preserve">”</w:t>
      </w:r>
      <w:r>
        <w:t xml:space="preserve">.</w:t>
      </w:r>
    </w:p>
    <w:bookmarkEnd w:id="216"/>
    <w:bookmarkEnd w:id="217"/>
    <w:bookmarkStart w:id="227" w:name="sec-dek"/>
    <w:p>
      <w:pPr>
        <w:pStyle w:val="Heading2"/>
      </w:pPr>
      <w:r>
        <w:t xml:space="preserve">7.4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18" w:name="sec-dotd"/>
    <w:p>
      <w:pPr>
        <w:pStyle w:val="Heading3"/>
      </w:pPr>
      <w:r>
        <w:t xml:space="preserve">7.4.1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18"/>
    <w:bookmarkStart w:id="219" w:name="sec-work"/>
    <w:p>
      <w:pPr>
        <w:pStyle w:val="Heading3"/>
      </w:pPr>
      <w:r>
        <w:t xml:space="preserve">7.4.2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19"/>
    <w:bookmarkStart w:id="226" w:name="sec-sched"/>
    <w:p>
      <w:pPr>
        <w:pStyle w:val="Heading3"/>
      </w:pPr>
      <w:r>
        <w:t xml:space="preserve">7.4.3 Schedules</w:t>
      </w:r>
    </w:p>
    <w:bookmarkStart w:id="220"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11</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20"/>
    <w:bookmarkStart w:id="222" w:name="tbl-pently"/>
    <w:p>
      <w:pPr>
        <w:pStyle w:val="Heading4"/>
      </w:pPr>
      <w:hyperlink w:anchor="tbl-pently">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1" w:name="tbl-pently"/>
          <w:p>
            <w:pPr>
              <w:pStyle w:val="TableCaption"/>
            </w:pPr>
            <w:r>
              <w:t xml:space="preserve">Table 11: The characteristics of the pently schedules</w:t>
            </w:r>
          </w:p>
          <w:tbl>
            <w:tblPr>
              <w:tblStyle w:val="Table"/>
              <w:tblW w:type="auto" w:w="0"/>
              <w:tblLook w:firstRow="1" w:lastRow="0" w:firstColumn="0" w:lastColumn="0" w:noHBand="0" w:noVBand="0" w:val="0020"/>
              <w:jc w:val="start"/>
              <w:tblCaption w:val="Table 11: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21"/>
        </w:tc>
      </w:tr>
    </w:tbl>
    <w:bookmarkEnd w:id="222"/>
    <w:bookmarkStart w:id="223"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12</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23"/>
    <w:bookmarkStart w:id="225" w:name="tbl-daily"/>
    <w:p>
      <w:pPr>
        <w:pStyle w:val="Heading4"/>
      </w:pPr>
      <w:hyperlink w:anchor="tbl-dai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4" w:name="tbl-daily"/>
          <w:p>
            <w:pPr>
              <w:pStyle w:val="TableCaption"/>
            </w:pPr>
            <w:r>
              <w:t xml:space="preserve">Table 12: The workday schedule</w:t>
            </w:r>
          </w:p>
          <w:tbl>
            <w:tblPr>
              <w:tblStyle w:val="Table"/>
              <w:tblW w:type="auto" w:w="0"/>
              <w:tblLook w:firstRow="1" w:lastRow="0" w:firstColumn="0" w:lastColumn="0" w:noHBand="0" w:noVBand="0" w:val="0020"/>
              <w:jc w:val="start"/>
              <w:tblCaption w:val="Table 12: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24"/>
        </w:tc>
      </w:tr>
    </w:tbl>
    <w:bookmarkEnd w:id="225"/>
    <w:bookmarkEnd w:id="226"/>
    <w:bookmarkEnd w:id="227"/>
    <w:bookmarkStart w:id="247" w:name="sec-subyear"/>
    <w:p>
      <w:pPr>
        <w:pStyle w:val="Heading2"/>
      </w:pPr>
      <w:r>
        <w:t xml:space="preserve">7.5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33" w:name="sec-season"/>
    <w:p>
      <w:pPr>
        <w:pStyle w:val="Heading3"/>
      </w:pPr>
      <w:r>
        <w:t xml:space="preserve">7.5.1 Seasons</w:t>
      </w:r>
    </w:p>
    <w:p>
      <w:pPr>
        <w:pStyle w:val="FirstParagraph"/>
      </w:pPr>
      <w:r>
        <w:t xml:space="preserve">We can use</w:t>
      </w:r>
      <w:r>
        <w:t xml:space="preserve"> </w:t>
      </w:r>
      <w:hyperlink w:anchor="tbl-greg2doty">
        <w:r>
          <w:rPr>
            <w:rStyle w:val="Hyperlink"/>
          </w:rPr>
          <w:t xml:space="preserve">Table 1</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28">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13</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30" w:name="tbl-soleq"/>
    <w:p>
      <w:pPr>
        <w:pStyle w:val="Heading4"/>
      </w:pPr>
      <w:hyperlink w:anchor="tbl-soleq">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9" w:name="tbl-soleq"/>
          <w:p>
            <w:pPr>
              <w:pStyle w:val="TableCaption"/>
            </w:pPr>
            <w:r>
              <w:t xml:space="preserve">Table 13: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3: Solstice and equinox Gregorian calendar and doty dates"/>
            </w:tblPr>
            <w:tblGrid>
              <w:gridCol w:w="565"/>
              <w:gridCol w:w="848"/>
              <w:gridCol w:w="848"/>
              <w:gridCol w:w="565"/>
              <w:gridCol w:w="848"/>
              <w:gridCol w:w="1697"/>
              <w:gridCol w:w="2545"/>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29"/>
        </w:tc>
      </w:tr>
    </w:tbl>
    <w:p>
      <w:pPr>
        <w:pStyle w:val="BodyText"/>
      </w:pPr>
      <w:r>
        <w:t xml:space="preserve">Using the information in</w:t>
      </w:r>
      <w:r>
        <w:t xml:space="preserve"> </w:t>
      </w:r>
      <w:hyperlink w:anchor="tbl-soleq">
        <w:r>
          <w:rPr>
            <w:rStyle w:val="Hyperlink"/>
          </w:rPr>
          <w:t xml:space="preserve">Table 13</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14</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14</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14</w:t>
        </w:r>
      </w:hyperlink>
      <w:r>
        <w:t xml:space="preserve"> </w:t>
      </w:r>
      <w:r>
        <w:t xml:space="preserve">has 18.2 pents (91 days).</w:t>
      </w:r>
    </w:p>
    <w:bookmarkEnd w:id="230"/>
    <w:bookmarkStart w:id="232" w:name="tbl-season"/>
    <w:p>
      <w:pPr>
        <w:pStyle w:val="Heading4"/>
      </w:pPr>
      <w:hyperlink w:anchor="tbl-season">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1" w:name="tbl-season"/>
          <w:p>
            <w:pPr>
              <w:pStyle w:val="TableCaption"/>
            </w:pPr>
            <w:r>
              <w:t xml:space="preserve">Table 14: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4: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31"/>
        </w:tc>
      </w:tr>
    </w:tbl>
    <w:bookmarkEnd w:id="232"/>
    <w:bookmarkEnd w:id="233"/>
    <w:bookmarkStart w:id="246" w:name="sec-qdew"/>
    <w:p>
      <w:pPr>
        <w:pStyle w:val="Heading3"/>
      </w:pPr>
      <w:r>
        <w:t xml:space="preserve">7.5.2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34"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15</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34"/>
    <w:bookmarkStart w:id="236" w:name="tbl-q"/>
    <w:p>
      <w:pPr>
        <w:pStyle w:val="Heading4"/>
      </w:pPr>
      <w:hyperlink w:anchor="tbl-q">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5" w:name="tbl-q"/>
          <w:p>
            <w:pPr>
              <w:pStyle w:val="TableCaption"/>
            </w:pPr>
            <w:r>
              <w:t xml:space="preserve">Table 15: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5: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35"/>
        </w:tc>
      </w:tr>
    </w:tbl>
    <w:bookmarkEnd w:id="236"/>
    <w:bookmarkStart w:id="237"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16</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15</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37"/>
    <w:bookmarkStart w:id="239" w:name="tbl-d"/>
    <w:p>
      <w:pPr>
        <w:pStyle w:val="Heading4"/>
      </w:pPr>
      <w:hyperlink w:anchor="tbl-d">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8" w:name="tbl-d"/>
          <w:p>
            <w:pPr>
              <w:pStyle w:val="TableCaption"/>
            </w:pPr>
            <w:r>
              <w:t xml:space="preserve">Table 16: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6: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38"/>
        </w:tc>
      </w:tr>
    </w:tbl>
    <w:bookmarkEnd w:id="239"/>
    <w:bookmarkStart w:id="240"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17</w:t>
        </w:r>
      </w:hyperlink>
      <w:r>
        <w:t xml:space="preserve"> </w:t>
      </w:r>
      <w:r>
        <w:t xml:space="preserve">list the numbers of the days that begin and end each</w:t>
      </w:r>
      <w:r>
        <w:t xml:space="preserve"> </w:t>
      </w:r>
      <w:r>
        <w:rPr>
          <w:rStyle w:val="VerbatimChar"/>
        </w:rPr>
        <w:t xml:space="preserve">ep</w:t>
      </w:r>
      <w:r>
        <w:t xml:space="preserve">.</w:t>
      </w:r>
    </w:p>
    <w:bookmarkEnd w:id="240"/>
    <w:bookmarkStart w:id="242" w:name="tbl-e"/>
    <w:p>
      <w:pPr>
        <w:pStyle w:val="Heading4"/>
      </w:pPr>
      <w:hyperlink w:anchor="tbl-e">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1" w:name="tbl-e"/>
          <w:p>
            <w:pPr>
              <w:pStyle w:val="TableCaption"/>
            </w:pPr>
            <w:r>
              <w:t xml:space="preserve">Table 17: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7: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41"/>
        </w:tc>
      </w:tr>
    </w:tbl>
    <w:bookmarkEnd w:id="242"/>
    <w:bookmarkStart w:id="243"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18</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243"/>
    <w:bookmarkStart w:id="245" w:name="tbl-w"/>
    <w:p>
      <w:pPr>
        <w:pStyle w:val="Heading4"/>
      </w:pPr>
      <w:hyperlink w:anchor="tbl-w">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4" w:name="tbl-w"/>
          <w:p>
            <w:pPr>
              <w:pStyle w:val="TableCaption"/>
            </w:pPr>
            <w:r>
              <w:t xml:space="preserve">Table 18: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8: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244"/>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245"/>
    <w:bookmarkEnd w:id="246"/>
    <w:bookmarkEnd w:id="247"/>
    <w:bookmarkEnd w:id="248"/>
    <w:bookmarkStart w:id="280" w:name="sec-series"/>
    <w:p>
      <w:pPr>
        <w:pStyle w:val="Heading1"/>
      </w:pPr>
      <w:r>
        <w:t xml:space="preserve">8.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251" w:name="sec-slice"/>
    <w:p>
      <w:pPr>
        <w:pStyle w:val="Heading2"/>
      </w:pPr>
      <w:r>
        <w:t xml:space="preserve">8.1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w:t>
      </w:r>
      <w:r>
        <w:t xml:space="preserve"> </w:t>
      </w:r>
      <w:r>
        <w:rPr>
          <w:rStyle w:val="VerbatimChar"/>
        </w:rPr>
        <w:t xml:space="preserve">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19</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19</w:t>
        </w:r>
      </w:hyperlink>
      <w:r>
        <w:t xml:space="preserve"> </w:t>
      </w:r>
      <w:r>
        <w:t xml:space="preserve">indicates a number that has to be incremented in leap years.</w:t>
      </w:r>
    </w:p>
    <w:bookmarkStart w:id="250" w:name="tbl-4slice"/>
    <w:p>
      <w:pPr>
        <w:pStyle w:val="Heading4"/>
      </w:pPr>
      <w:hyperlink w:anchor="tbl-4slice">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9" w:name="tbl-4slice"/>
          <w:p>
            <w:pPr>
              <w:pStyle w:val="TableCaption"/>
            </w:pPr>
            <w:r>
              <w:t xml:space="preserve">Table 19: The slices that represent the 4-part subyear units</w:t>
            </w:r>
          </w:p>
          <w:tbl>
            <w:tblPr>
              <w:tblStyle w:val="Table"/>
              <w:tblW w:type="auto" w:w="0"/>
              <w:tblLook w:firstRow="1" w:lastRow="0" w:firstColumn="0" w:lastColumn="0" w:noHBand="0" w:noVBand="0" w:val="0020"/>
              <w:jc w:val="start"/>
              <w:tblCaption w:val="Table 19: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249"/>
        </w:tc>
      </w:tr>
    </w:tbl>
    <w:bookmarkEnd w:id="250"/>
    <w:bookmarkEnd w:id="251"/>
    <w:bookmarkStart w:id="252" w:name="sec-step"/>
    <w:p>
      <w:pPr>
        <w:pStyle w:val="Heading2"/>
      </w:pPr>
      <w:r>
        <w:t xml:space="preserve">8.2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w:t>
      </w:r>
      <w:r>
        <w:t xml:space="preserve"> </w:t>
      </w:r>
      <w:r>
        <w:rPr>
          <w:rStyle w:val="VerbatimChar"/>
        </w:rPr>
        <w:t xml:space="preserve">::3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w:t>
      </w:r>
      <w:r>
        <w:t xml:space="preserve"> </w:t>
      </w:r>
      <w:r>
        <w:rPr>
          <w:rStyle w:val="VerbatimChar"/>
        </w:rPr>
        <w:t xml:space="preserve">:365:1,1,3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252"/>
    <w:bookmarkStart w:id="255" w:name="sec-spread"/>
    <w:p>
      <w:pPr>
        <w:pStyle w:val="Heading2"/>
      </w:pPr>
      <w:r>
        <w:t xml:space="preserve">8.3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w:t>
      </w:r>
      <w:r>
        <w:t xml:space="preserve"> </w:t>
      </w:r>
      <w:r>
        <w:rPr>
          <w:rStyle w:val="VerbatimChar"/>
        </w:rPr>
        <w:t xml:space="preserve">&gt;3</w:t>
      </w:r>
      <w:r>
        <w:t xml:space="preserve">, which is synonymous with the</w:t>
      </w:r>
      <w:r>
        <w:t xml:space="preserve"> </w:t>
      </w:r>
      <w:r>
        <w:rPr>
          <w:rStyle w:val="VerbatimChar"/>
        </w:rPr>
        <w:t xml:space="preserve">slice</w:t>
      </w:r>
      <w:r>
        <w:t xml:space="preserve"> </w:t>
      </w:r>
      <w:r>
        <w:rPr>
          <w:rStyle w:val="VerbatimChar"/>
        </w:rPr>
        <w:t xml:space="preserve">:3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254" w:name="tbl-4spread"/>
    <w:p>
      <w:pPr>
        <w:pStyle w:val="Heading4"/>
      </w:pPr>
      <w:hyperlink w:anchor="tbl-4spread">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3" w:name="tbl-4spread"/>
          <w:p>
            <w:pPr>
              <w:pStyle w:val="TableCaption"/>
            </w:pPr>
            <w:r>
              <w:t xml:space="preserve">Table 20: The spreads that represent the 4-part subyear units</w:t>
            </w:r>
          </w:p>
          <w:tbl>
            <w:tblPr>
              <w:tblStyle w:val="Table"/>
              <w:tblW w:type="auto" w:w="0"/>
              <w:tblLook w:firstRow="1" w:lastRow="0" w:firstColumn="0" w:lastColumn="0" w:noHBand="0" w:noVBand="0" w:val="0020"/>
              <w:jc w:val="start"/>
              <w:tblCaption w:val="Table 20: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253"/>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w:t>
      </w:r>
      <w:r>
        <w:t xml:space="preserve"> </w:t>
      </w:r>
      <w:r>
        <w:rPr>
          <w:rStyle w:val="VerbatimChar"/>
        </w:rPr>
        <w:t xml:space="preserve">-3:</w:t>
      </w:r>
      <w:r>
        <w:t xml:space="preserve"> </w:t>
      </w:r>
      <w:r>
        <w:t xml:space="preserve">and the</w:t>
      </w:r>
      <w:r>
        <w:t xml:space="preserve"> </w:t>
      </w:r>
      <w:r>
        <w:rPr>
          <w:rStyle w:val="VerbatimChar"/>
        </w:rPr>
        <w:t xml:space="preserve">spread</w:t>
      </w:r>
      <w:r>
        <w:t xml:space="preserve"> </w:t>
      </w:r>
      <w:r>
        <w:rPr>
          <w:rStyle w:val="VerbatimChar"/>
        </w:rPr>
        <w:t xml:space="preserve">-3&gt;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254"/>
    <w:bookmarkEnd w:id="255"/>
    <w:bookmarkStart w:id="256" w:name="sec-split"/>
    <w:p>
      <w:pPr>
        <w:pStyle w:val="Heading2"/>
      </w:pPr>
      <w:r>
        <w:t xml:space="preserve">8.4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256"/>
    <w:bookmarkStart w:id="259" w:name="sec-space"/>
    <w:p>
      <w:pPr>
        <w:pStyle w:val="Heading2"/>
      </w:pPr>
      <w:r>
        <w:t xml:space="preserve">8.5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21</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w:t>
      </w:r>
      <w:r>
        <w:t xml:space="preserve"> </w:t>
      </w:r>
      <w:r>
        <w:rPr>
          <w:rStyle w:val="VerbatimChar"/>
        </w:rPr>
        <w:t xml:space="preserve">≫61&gt;0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258" w:name="tbl-constant"/>
    <w:p>
      <w:pPr>
        <w:pStyle w:val="Heading4"/>
      </w:pPr>
      <w:hyperlink w:anchor="tbl-constant">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7" w:name="tbl-constant"/>
          <w:p>
            <w:pPr>
              <w:pStyle w:val="TableCaption"/>
            </w:pPr>
            <w:r>
              <w:t xml:space="preserve">Table 21: The spreads that represent the constant length subyear units</w:t>
            </w:r>
          </w:p>
          <w:tbl>
            <w:tblPr>
              <w:tblStyle w:val="Table"/>
              <w:tblW w:type="auto" w:w="0"/>
              <w:tblLook w:firstRow="1" w:lastRow="0" w:firstColumn="0" w:lastColumn="0" w:noHBand="0" w:noVBand="0" w:val="0020"/>
              <w:jc w:val="start"/>
              <w:tblCaption w:val="Table 21: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257"/>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w:t>
      </w:r>
      <w:r>
        <w:t xml:space="preserve"> </w:t>
      </w:r>
      <w:r>
        <w:rPr>
          <w:rStyle w:val="VerbatimChar"/>
        </w:rPr>
        <w:t xml:space="preserve">&gt;1&gt;.4&lt;.2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w:t>
      </w:r>
      <w:r>
        <w:t xml:space="preserve"> </w:t>
      </w:r>
      <w:r>
        <w:rPr>
          <w:rStyle w:val="VerbatimChar"/>
        </w:rPr>
        <w:t xml:space="preserve">&gt;1&gt;.4&lt;.2,-.1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258"/>
    <w:bookmarkEnd w:id="259"/>
    <w:bookmarkStart w:id="262" w:name="sec-seq"/>
    <w:p>
      <w:pPr>
        <w:pStyle w:val="Heading2"/>
      </w:pPr>
      <w:r>
        <w:t xml:space="preserve">8.6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w:t>
      </w:r>
      <w:r>
        <w:t xml:space="preserve"> </w:t>
      </w:r>
      <w:r>
        <w:rPr>
          <w:rStyle w:val="VerbatimChar"/>
        </w:rPr>
        <w:t xml:space="preserve">≫3&gt;2&gt;.3&gt;.4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w:t>
      </w:r>
      <w:r>
        <w:t xml:space="preserve"> </w:t>
      </w:r>
      <w:r>
        <w:rPr>
          <w:rStyle w:val="VerbatimChar"/>
        </w:rPr>
        <w:t xml:space="preserve">≫3&gt;2&lt;.3&gt;.4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w:t>
      </w:r>
      <w:r>
        <w:t xml:space="preserve"> </w:t>
      </w:r>
      <w:r>
        <w:rPr>
          <w:rStyle w:val="VerbatimChar"/>
        </w:rPr>
        <w:t xml:space="preserve">≫3&gt;2&gt;.3&gt;.4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22</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261" w:name="tbl-workday"/>
    <w:p>
      <w:pPr>
        <w:pStyle w:val="Heading4"/>
      </w:pPr>
      <w:hyperlink w:anchor="tbl-workday">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0" w:name="tbl-workday"/>
          <w:p>
            <w:pPr>
              <w:pStyle w:val="TableCaption"/>
            </w:pPr>
            <w:r>
              <w:t xml:space="preserve">Table 22: A workday schedule with a lunch break</w:t>
            </w:r>
          </w:p>
          <w:tbl>
            <w:tblPr>
              <w:tblStyle w:val="Table"/>
              <w:tblW w:type="auto" w:w="0"/>
              <w:tblLook w:firstRow="1" w:lastRow="0" w:firstColumn="0" w:lastColumn="0" w:noHBand="0" w:noVBand="0" w:val="0020"/>
              <w:jc w:val="start"/>
              <w:tblCaption w:val="Table 22: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260"/>
        </w:tc>
      </w:tr>
    </w:tbl>
    <w:bookmarkEnd w:id="261"/>
    <w:bookmarkEnd w:id="262"/>
    <w:bookmarkStart w:id="269" w:name="sec-pom"/>
    <w:p>
      <w:pPr>
        <w:pStyle w:val="Heading2"/>
      </w:pPr>
      <w:r>
        <w:t xml:space="preserve">8.7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263">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264" w:name="sec-rep"/>
    <w:p>
      <w:pPr>
        <w:pStyle w:val="Heading3"/>
      </w:pPr>
      <w:r>
        <w:t xml:space="preserve">8.7.1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w:t>
      </w:r>
      <w:r>
        <w:t xml:space="preserve"> </w:t>
      </w:r>
      <w:r>
        <w:rPr>
          <w:rStyle w:val="VerbatimChar"/>
        </w:rPr>
        <w:t xml:space="preserve">≫5*61,60⁺&gt;0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264"/>
    <w:bookmarkStart w:id="265" w:name="sec-per"/>
    <w:p>
      <w:pPr>
        <w:pStyle w:val="Heading3"/>
      </w:pPr>
      <w:r>
        <w:t xml:space="preserve">8.7.2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265"/>
    <w:bookmarkStart w:id="268" w:name="sec-3s"/>
    <w:p>
      <w:pPr>
        <w:pStyle w:val="Heading3"/>
      </w:pPr>
      <w:r>
        <w:t xml:space="preserve">8.7.3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w:t>
      </w:r>
      <w:r>
        <w:t xml:space="preserve"> </w:t>
      </w:r>
      <w:r>
        <w:rPr>
          <w:rStyle w:val="VerbatimChar"/>
        </w:rPr>
        <w:t xml:space="preserve">seq spread</w:t>
      </w:r>
      <w:r>
        <w:t xml:space="preserve"> </w:t>
      </w:r>
      <w:r>
        <w:rPr>
          <w:rStyle w:val="VerbatimChar"/>
        </w:rPr>
        <w:t xml:space="preserve">≫≫.38&gt;.24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w:t>
      </w:r>
      <w:r>
        <w:t xml:space="preserve"> </w:t>
      </w:r>
      <w:r>
        <w:rPr>
          <w:rStyle w:val="VerbatimChar"/>
        </w:rPr>
        <w:t xml:space="preserve">seq spread</w:t>
      </w:r>
      <w:r>
        <w:t xml:space="preserve"> </w:t>
      </w:r>
      <w:r>
        <w:rPr>
          <w:rStyle w:val="VerbatimChar"/>
        </w:rPr>
        <w:t xml:space="preserve">≫4≫.35&gt;.3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w:t>
      </w:r>
      <w:r>
        <w:t xml:space="preserve"> </w:t>
      </w:r>
      <w:r>
        <w:rPr>
          <w:rStyle w:val="VerbatimChar"/>
        </w:rPr>
        <w:t xml:space="preserve">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23</w:t>
        </w:r>
      </w:hyperlink>
      <w:r>
        <w:t xml:space="preserve">.</w:t>
      </w:r>
    </w:p>
    <w:bookmarkStart w:id="267" w:name="tbl-sched"/>
    <w:p>
      <w:pPr>
        <w:pStyle w:val="Heading4"/>
      </w:pPr>
      <w:hyperlink w:anchor="tbl-sched">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6" w:name="tbl-sched"/>
          <w:p>
            <w:pPr>
              <w:pStyle w:val="TableCaption"/>
            </w:pPr>
            <w:r>
              <w:t xml:space="preserve">Table 23: The seq spreads, splices, and sleds that represent the 4 pently schedules</w:t>
            </w:r>
          </w:p>
          <w:tbl>
            <w:tblPr>
              <w:tblStyle w:val="Table"/>
              <w:tblW w:type="pct" w:w="5000"/>
              <w:tblLook w:firstRow="1" w:lastRow="0" w:firstColumn="0" w:lastColumn="0" w:noHBand="0" w:noVBand="0" w:val="0020"/>
              <w:jc w:val="start"/>
              <w:tblCaption w:val="Table 23: The seq spreads, splices, and sleds that represent the 4 pently schedules"/>
            </w:tblPr>
            <w:tblGrid>
              <w:gridCol w:w="1056"/>
              <w:gridCol w:w="1320"/>
              <w:gridCol w:w="1320"/>
              <w:gridCol w:w="2112"/>
              <w:gridCol w:w="2112"/>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266"/>
        </w:tc>
      </w:tr>
    </w:tbl>
    <w:bookmarkEnd w:id="267"/>
    <w:bookmarkEnd w:id="268"/>
    <w:bookmarkEnd w:id="269"/>
    <w:bookmarkStart w:id="276" w:name="sec-trans"/>
    <w:p>
      <w:pPr>
        <w:pStyle w:val="Heading2"/>
      </w:pPr>
      <w:r>
        <w:t xml:space="preserve">8.8 Yearly transition</w:t>
      </w:r>
    </w:p>
    <w:bookmarkStart w:id="272" w:name="sec-transc"/>
    <w:p>
      <w:pPr>
        <w:pStyle w:val="Heading3"/>
      </w:pPr>
      <w:r>
        <w:t xml:space="preserve">8.8.1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24</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271" w:name="tbl-common"/>
    <w:p>
      <w:pPr>
        <w:pStyle w:val="Heading4"/>
      </w:pPr>
      <w:hyperlink w:anchor="tbl-common">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0" w:name="tbl-common"/>
          <w:p>
            <w:pPr>
              <w:pStyle w:val="TableCaption"/>
            </w:pPr>
            <w:r>
              <w:t xml:space="preserve">Table 24: The days in Dek 36 in common years</w:t>
            </w:r>
          </w:p>
          <w:tbl>
            <w:tblPr>
              <w:tblStyle w:val="Table"/>
              <w:tblW w:type="auto" w:w="0"/>
              <w:tblLook w:firstRow="1" w:lastRow="0" w:firstColumn="0" w:lastColumn="0" w:noHBand="0" w:noVBand="0" w:val="0020"/>
              <w:jc w:val="start"/>
              <w:tblCaption w:val="Table 24: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270"/>
        </w:tc>
      </w:tr>
    </w:tbl>
    <w:bookmarkEnd w:id="271"/>
    <w:bookmarkEnd w:id="272"/>
    <w:bookmarkStart w:id="275" w:name="sec-transl"/>
    <w:p>
      <w:pPr>
        <w:pStyle w:val="Heading3"/>
      </w:pPr>
      <w:r>
        <w:t xml:space="preserve">8.8.2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274" w:name="tbl-leap"/>
    <w:p>
      <w:pPr>
        <w:pStyle w:val="Heading4"/>
      </w:pPr>
      <w:hyperlink w:anchor="tbl-leap">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3" w:name="tbl-leap"/>
          <w:p>
            <w:pPr>
              <w:pStyle w:val="TableCaption"/>
            </w:pPr>
            <w:r>
              <w:t xml:space="preserve">Table 25: The days in Dek 36 in leap years</w:t>
            </w:r>
          </w:p>
          <w:tbl>
            <w:tblPr>
              <w:tblStyle w:val="Table"/>
              <w:tblW w:type="auto" w:w="0"/>
              <w:tblLook w:firstRow="1" w:lastRow="0" w:firstColumn="0" w:lastColumn="0" w:noHBand="0" w:noVBand="0" w:val="0020"/>
              <w:jc w:val="start"/>
              <w:tblCaption w:val="Table 25: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273"/>
        </w:tc>
      </w:tr>
    </w:tbl>
    <w:bookmarkEnd w:id="274"/>
    <w:bookmarkEnd w:id="275"/>
    <w:bookmarkEnd w:id="276"/>
    <w:bookmarkStart w:id="279" w:name="sec-holiday"/>
    <w:p>
      <w:pPr>
        <w:pStyle w:val="Heading2"/>
      </w:pPr>
      <w:r>
        <w:t xml:space="preserve">8.9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Decalendar</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26</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278" w:name="tbl-holiday"/>
    <w:p>
      <w:pPr>
        <w:pStyle w:val="Heading4"/>
      </w:pPr>
      <w:hyperlink w:anchor="tbl-holiday">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7" w:name="tbl-holiday"/>
          <w:p>
            <w:pPr>
              <w:pStyle w:val="TableCaption"/>
            </w:pPr>
            <w:r>
              <w:t xml:space="preserve">Table 26: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6: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277"/>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278"/>
    <w:bookmarkEnd w:id="279"/>
    <w:bookmarkEnd w:id="280"/>
    <w:bookmarkStart w:id="283" w:name="references"/>
    <w:p>
      <w:pPr>
        <w:pStyle w:val="Heading1"/>
      </w:pPr>
      <w:r>
        <w:t xml:space="preserve">9. References</w:t>
      </w:r>
    </w:p>
    <w:bookmarkStart w:id="282" w:name="refs"/>
    <w:bookmarkStart w:id="281" w:name="ref-hinnant2014"/>
    <w:p>
      <w:pPr>
        <w:pStyle w:val="Bibliography"/>
      </w:pPr>
      <w:r>
        <w:t xml:space="preserve">Hinnant, Howard. 2014.</w:t>
      </w:r>
      <w:r>
        <w:t xml:space="preserve"> </w:t>
      </w:r>
      <w:r>
        <w:t xml:space="preserve">“Chrono-Compatible Low-Level Date Algorithms.”</w:t>
      </w:r>
      <w:r>
        <w:t xml:space="preserve"> </w:t>
      </w:r>
      <w:hyperlink r:id="rId46">
        <w:r>
          <w:rPr>
            <w:rStyle w:val="Hyperlink"/>
          </w:rPr>
          <w:t xml:space="preserve">http://howardhinnant.github.io/date_algorithms.html</w:t>
        </w:r>
      </w:hyperlink>
      <w:r>
        <w:t xml:space="preserve">.</w:t>
      </w:r>
    </w:p>
    <w:bookmarkEnd w:id="281"/>
    <w:bookmarkEnd w:id="282"/>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46" Target="http://howardhinnant.github.io/date_algorithms.html" TargetMode="External" /><Relationship Type="http://schemas.openxmlformats.org/officeDocument/2006/relationships/hyperlink" Id="rId44" Target="http://howardhinnant.github.io/date_algorithms.html#civil_from_days" TargetMode="External" /><Relationship Type="http://schemas.openxmlformats.org/officeDocument/2006/relationships/hyperlink" Id="rId43" Target="http://howardhinnant.github.io/date_algorithms.html#days_from_civil" TargetMode="External" /><Relationship Type="http://schemas.openxmlformats.org/officeDocument/2006/relationships/hyperlink" Id="rId69" Target="http://howardhinnant.github.io/date_algorithms.html#is_leap" TargetMode="External" /><Relationship Type="http://schemas.openxmlformats.org/officeDocument/2006/relationships/hyperlink" Id="rId175" Target="https://codepen.io/maptv/pen/oNJZeea" TargetMode="External" /><Relationship Type="http://schemas.openxmlformats.org/officeDocument/2006/relationships/hyperlink" Id="rId208" Target="https://en.m.wikipedia.org/wiki/Numeral_prefix#Table_of_number_prefixes_in_English" TargetMode="External" /><Relationship Type="http://schemas.openxmlformats.org/officeDocument/2006/relationships/hyperlink" Id="rId147" Target="https://en.wikipedia.org/wiki/Array_slicing" TargetMode="External" /><Relationship Type="http://schemas.openxmlformats.org/officeDocument/2006/relationships/hyperlink" Id="rId37" Target="https://en.wikipedia.org/wiki/Cartesian_coordinate_system" TargetMode="External" /><Relationship Type="http://schemas.openxmlformats.org/officeDocument/2006/relationships/hyperlink" Id="rId132" Target="https://en.wikipedia.org/wiki/Coordinated_Universal_Time" TargetMode="External" /><Relationship Type="http://schemas.openxmlformats.org/officeDocument/2006/relationships/hyperlink" Id="rId112" Target="https://en.wikipedia.org/wiki/Decimal_time#Fractional_days" TargetMode="External" /><Relationship Type="http://schemas.openxmlformats.org/officeDocument/2006/relationships/hyperlink" Id="rId153" Target="https://en.wikipedia.org/wiki/French_Republican_calendar" TargetMode="External" /><Relationship Type="http://schemas.openxmlformats.org/officeDocument/2006/relationships/hyperlink" Id="rId36"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206" Target="https://en.wikipedia.org/wiki/Hexadecimal" TargetMode="External" /><Relationship Type="http://schemas.openxmlformats.org/officeDocument/2006/relationships/hyperlink" Id="rId78" Target="https://en.wikipedia.org/wiki/ISO_8601" TargetMode="External" /><Relationship Type="http://schemas.openxmlformats.org/officeDocument/2006/relationships/hyperlink" Id="rId101" Target="https://en.wikipedia.org/wiki/ISO_8601#Calendar_dates" TargetMode="External" /><Relationship Type="http://schemas.openxmlformats.org/officeDocument/2006/relationships/hyperlink" Id="rId79" Target="https://en.wikipedia.org/wiki/ISO_8601#Dates" TargetMode="External" /><Relationship Type="http://schemas.openxmlformats.org/officeDocument/2006/relationships/hyperlink" Id="rId83" Target="https://en.wikipedia.org/wiki/ISO_8601#Ordinal_dates" TargetMode="External" /><Relationship Type="http://schemas.openxmlformats.org/officeDocument/2006/relationships/hyperlink" Id="rId146" Target="https://en.wikipedia.org/wiki/ISO_8601#Repeating_intervals" TargetMode="External" /><Relationship Type="http://schemas.openxmlformats.org/officeDocument/2006/relationships/hyperlink" Id="rId143" Target="https://en.wikipedia.org/wiki/ISO_8601#Time_intervals" TargetMode="External" /><Relationship Type="http://schemas.openxmlformats.org/officeDocument/2006/relationships/hyperlink" Id="rId80" Target="https://en.wikipedia.org/wiki/ISO_8601#Times" TargetMode="External" /><Relationship Type="http://schemas.openxmlformats.org/officeDocument/2006/relationships/hyperlink" Id="rId81" Target="https://en.wikipedia.org/wiki/ISO_8601#Years" TargetMode="External" /><Relationship Type="http://schemas.openxmlformats.org/officeDocument/2006/relationships/hyperlink" Id="rId164" Target="https://en.wikipedia.org/wiki/Julian_day#Variants" TargetMode="External" /><Relationship Type="http://schemas.openxmlformats.org/officeDocument/2006/relationships/hyperlink" Id="rId201" Target="https://en.wikipedia.org/wiki/List_of_UTC_offsets" TargetMode="External" /><Relationship Type="http://schemas.openxmlformats.org/officeDocument/2006/relationships/hyperlink" Id="rId165" Target="https://en.wikipedia.org/wiki/List_of_UTC_offsets#UTC%C2%B100:00,_Z" TargetMode="External" /><Relationship Type="http://schemas.openxmlformats.org/officeDocument/2006/relationships/hyperlink" Id="rId162" Target="https://en.wikipedia.org/wiki/List_of_UTC_offsets#UTC+01:00,_A" TargetMode="External" /><Relationship Type="http://schemas.openxmlformats.org/officeDocument/2006/relationships/hyperlink" Id="rId130" Target="https://en.wikipedia.org/wiki/Military_time_zone#Description" TargetMode="External" /><Relationship Type="http://schemas.openxmlformats.org/officeDocument/2006/relationships/hyperlink" Id="rId202" Target="https://en.wikipedia.org/wiki/Noon#Solar_noon" TargetMode="External" /><Relationship Type="http://schemas.openxmlformats.org/officeDocument/2006/relationships/hyperlink" Id="rId228"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207" Target="https://en.wikipedia.org/wiki/Ordinal_numeral" TargetMode="External" /><Relationship Type="http://schemas.openxmlformats.org/officeDocument/2006/relationships/hyperlink" Id="rId198" Target="https://en.wikipedia.org/wiki/Period_(music)" TargetMode="External" /><Relationship Type="http://schemas.openxmlformats.org/officeDocument/2006/relationships/hyperlink" Id="rId263" Target="https://en.wikipedia.org/wiki/Pomodoro_Technique" TargetMode="External" /><Relationship Type="http://schemas.openxmlformats.org/officeDocument/2006/relationships/hyperlink" Id="rId24" Target="https://en.wikipedia.org/wiki/Repeating_decimal" TargetMode="External" /><Relationship Type="http://schemas.openxmlformats.org/officeDocument/2006/relationships/hyperlink" Id="rId21" Target="https://en.wikipedia.org/wiki/Standard_time" TargetMode="External" /><Relationship Type="http://schemas.openxmlformats.org/officeDocument/2006/relationships/hyperlink" Id="rId161" Target="https://en.wikipedia.org/wiki/Swatch_Internet_Time" TargetMode="External" /><Relationship Type="http://schemas.openxmlformats.org/officeDocument/2006/relationships/hyperlink" Id="rId131" Target="https://en.wikipedia.org/wiki/UTC+00:00" TargetMode="External" /><Relationship Type="http://schemas.openxmlformats.org/officeDocument/2006/relationships/hyperlink" Id="rId84" Target="https://en.wikipedia.org/wiki/Zero-based_numbering" TargetMode="External" /><Relationship Type="http://schemas.openxmlformats.org/officeDocument/2006/relationships/hyperlink" Id="rId45" Target="https://howardhinnant.github.io/" TargetMode="External" /><Relationship Type="http://schemas.openxmlformats.org/officeDocument/2006/relationships/hyperlink" Id="rId149" Target="https://pandas.pydata.org/" TargetMode="External" /><Relationship Type="http://schemas.openxmlformats.org/officeDocument/2006/relationships/hyperlink" Id="rId148" Target="https://pandas.pydata.org/pandas-docs/version/1.1/user_guide/timeseries.html#indexing" TargetMode="External" /><Relationship Type="http://schemas.openxmlformats.org/officeDocument/2006/relationships/hyperlink" Id="rId190"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46" Target="http://howardhinnant.github.io/date_algorithms.html" TargetMode="External" /><Relationship Type="http://schemas.openxmlformats.org/officeDocument/2006/relationships/hyperlink" Id="rId44" Target="http://howardhinnant.github.io/date_algorithms.html#civil_from_days" TargetMode="External" /><Relationship Type="http://schemas.openxmlformats.org/officeDocument/2006/relationships/hyperlink" Id="rId43" Target="http://howardhinnant.github.io/date_algorithms.html#days_from_civil" TargetMode="External" /><Relationship Type="http://schemas.openxmlformats.org/officeDocument/2006/relationships/hyperlink" Id="rId69" Target="http://howardhinnant.github.io/date_algorithms.html#is_leap" TargetMode="External" /><Relationship Type="http://schemas.openxmlformats.org/officeDocument/2006/relationships/hyperlink" Id="rId175" Target="https://codepen.io/maptv/pen/oNJZeea" TargetMode="External" /><Relationship Type="http://schemas.openxmlformats.org/officeDocument/2006/relationships/hyperlink" Id="rId208" Target="https://en.m.wikipedia.org/wiki/Numeral_prefix#Table_of_number_prefixes_in_English" TargetMode="External" /><Relationship Type="http://schemas.openxmlformats.org/officeDocument/2006/relationships/hyperlink" Id="rId147" Target="https://en.wikipedia.org/wiki/Array_slicing" TargetMode="External" /><Relationship Type="http://schemas.openxmlformats.org/officeDocument/2006/relationships/hyperlink" Id="rId37" Target="https://en.wikipedia.org/wiki/Cartesian_coordinate_system" TargetMode="External" /><Relationship Type="http://schemas.openxmlformats.org/officeDocument/2006/relationships/hyperlink" Id="rId132" Target="https://en.wikipedia.org/wiki/Coordinated_Universal_Time" TargetMode="External" /><Relationship Type="http://schemas.openxmlformats.org/officeDocument/2006/relationships/hyperlink" Id="rId112" Target="https://en.wikipedia.org/wiki/Decimal_time#Fractional_days" TargetMode="External" /><Relationship Type="http://schemas.openxmlformats.org/officeDocument/2006/relationships/hyperlink" Id="rId153" Target="https://en.wikipedia.org/wiki/French_Republican_calendar" TargetMode="External" /><Relationship Type="http://schemas.openxmlformats.org/officeDocument/2006/relationships/hyperlink" Id="rId36"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206" Target="https://en.wikipedia.org/wiki/Hexadecimal" TargetMode="External" /><Relationship Type="http://schemas.openxmlformats.org/officeDocument/2006/relationships/hyperlink" Id="rId78" Target="https://en.wikipedia.org/wiki/ISO_8601" TargetMode="External" /><Relationship Type="http://schemas.openxmlformats.org/officeDocument/2006/relationships/hyperlink" Id="rId101" Target="https://en.wikipedia.org/wiki/ISO_8601#Calendar_dates" TargetMode="External" /><Relationship Type="http://schemas.openxmlformats.org/officeDocument/2006/relationships/hyperlink" Id="rId79" Target="https://en.wikipedia.org/wiki/ISO_8601#Dates" TargetMode="External" /><Relationship Type="http://schemas.openxmlformats.org/officeDocument/2006/relationships/hyperlink" Id="rId83" Target="https://en.wikipedia.org/wiki/ISO_8601#Ordinal_dates" TargetMode="External" /><Relationship Type="http://schemas.openxmlformats.org/officeDocument/2006/relationships/hyperlink" Id="rId146" Target="https://en.wikipedia.org/wiki/ISO_8601#Repeating_intervals" TargetMode="External" /><Relationship Type="http://schemas.openxmlformats.org/officeDocument/2006/relationships/hyperlink" Id="rId143" Target="https://en.wikipedia.org/wiki/ISO_8601#Time_intervals" TargetMode="External" /><Relationship Type="http://schemas.openxmlformats.org/officeDocument/2006/relationships/hyperlink" Id="rId80" Target="https://en.wikipedia.org/wiki/ISO_8601#Times" TargetMode="External" /><Relationship Type="http://schemas.openxmlformats.org/officeDocument/2006/relationships/hyperlink" Id="rId81" Target="https://en.wikipedia.org/wiki/ISO_8601#Years" TargetMode="External" /><Relationship Type="http://schemas.openxmlformats.org/officeDocument/2006/relationships/hyperlink" Id="rId164" Target="https://en.wikipedia.org/wiki/Julian_day#Variants" TargetMode="External" /><Relationship Type="http://schemas.openxmlformats.org/officeDocument/2006/relationships/hyperlink" Id="rId201" Target="https://en.wikipedia.org/wiki/List_of_UTC_offsets" TargetMode="External" /><Relationship Type="http://schemas.openxmlformats.org/officeDocument/2006/relationships/hyperlink" Id="rId165" Target="https://en.wikipedia.org/wiki/List_of_UTC_offsets#UTC%C2%B100:00,_Z" TargetMode="External" /><Relationship Type="http://schemas.openxmlformats.org/officeDocument/2006/relationships/hyperlink" Id="rId162" Target="https://en.wikipedia.org/wiki/List_of_UTC_offsets#UTC+01:00,_A" TargetMode="External" /><Relationship Type="http://schemas.openxmlformats.org/officeDocument/2006/relationships/hyperlink" Id="rId130" Target="https://en.wikipedia.org/wiki/Military_time_zone#Description" TargetMode="External" /><Relationship Type="http://schemas.openxmlformats.org/officeDocument/2006/relationships/hyperlink" Id="rId202" Target="https://en.wikipedia.org/wiki/Noon#Solar_noon" TargetMode="External" /><Relationship Type="http://schemas.openxmlformats.org/officeDocument/2006/relationships/hyperlink" Id="rId228"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207" Target="https://en.wikipedia.org/wiki/Ordinal_numeral" TargetMode="External" /><Relationship Type="http://schemas.openxmlformats.org/officeDocument/2006/relationships/hyperlink" Id="rId198" Target="https://en.wikipedia.org/wiki/Period_(music)" TargetMode="External" /><Relationship Type="http://schemas.openxmlformats.org/officeDocument/2006/relationships/hyperlink" Id="rId263" Target="https://en.wikipedia.org/wiki/Pomodoro_Technique" TargetMode="External" /><Relationship Type="http://schemas.openxmlformats.org/officeDocument/2006/relationships/hyperlink" Id="rId24" Target="https://en.wikipedia.org/wiki/Repeating_decimal" TargetMode="External" /><Relationship Type="http://schemas.openxmlformats.org/officeDocument/2006/relationships/hyperlink" Id="rId21" Target="https://en.wikipedia.org/wiki/Standard_time" TargetMode="External" /><Relationship Type="http://schemas.openxmlformats.org/officeDocument/2006/relationships/hyperlink" Id="rId161" Target="https://en.wikipedia.org/wiki/Swatch_Internet_Time" TargetMode="External" /><Relationship Type="http://schemas.openxmlformats.org/officeDocument/2006/relationships/hyperlink" Id="rId131" Target="https://en.wikipedia.org/wiki/UTC+00:00" TargetMode="External" /><Relationship Type="http://schemas.openxmlformats.org/officeDocument/2006/relationships/hyperlink" Id="rId84" Target="https://en.wikipedia.org/wiki/Zero-based_numbering" TargetMode="External" /><Relationship Type="http://schemas.openxmlformats.org/officeDocument/2006/relationships/hyperlink" Id="rId45" Target="https://howardhinnant.github.io/" TargetMode="External" /><Relationship Type="http://schemas.openxmlformats.org/officeDocument/2006/relationships/hyperlink" Id="rId149" Target="https://pandas.pydata.org/" TargetMode="External" /><Relationship Type="http://schemas.openxmlformats.org/officeDocument/2006/relationships/hyperlink" Id="rId148" Target="https://pandas.pydata.org/pandas-docs/version/1.1/user_guide/timeseries.html#indexing" TargetMode="External" /><Relationship Type="http://schemas.openxmlformats.org/officeDocument/2006/relationships/hyperlink" Id="rId190"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2023-10-04T17:39:43Z</dcterms:created>
  <dcterms:modified xsi:type="dcterms:W3CDTF">2023-10-04T17:39:43Z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depth">
    <vt:lpwstr>3</vt:lpwstr>
  </property>
  <property fmtid="{D5CDD505-2E9C-101B-9397-08002B2CF9AE}" pid="11" name="toc-title">
    <vt:lpwstr>Table of contents</vt:lpwstr>
  </property>
</Properties>
</file>