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2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43" w:name="sec-glance"/>
    <w:p>
      <w:pPr>
        <w:pStyle w:val="Heading1"/>
      </w:pPr>
      <w:r>
        <w:t xml:space="preserve">2. At a glance</w:t>
      </w:r>
    </w:p>
    <w:p>
      <w:pPr>
        <w:pStyle w:val="FirstParagraph"/>
      </w:pPr>
      <w:r>
        <w:t xml:space="preserve">The main</w:t>
      </w:r>
      <w:r>
        <w:t xml:space="preserve"> </w:t>
      </w:r>
      <w:r>
        <w:rPr>
          <w:rStyle w:val="VerbatimChar"/>
        </w:rPr>
        <w:t xml:space="preserve">Decalendar</w:t>
      </w:r>
      <w:r>
        <w:t xml:space="preserve"> </w:t>
      </w:r>
      <w:r>
        <w:t xml:space="preserve">date format consists of a year and a day-of-the-year (</w:t>
      </w:r>
      <w:r>
        <w:rPr>
          <w:rStyle w:val="VerbatimChar"/>
        </w:rPr>
        <w:t xml:space="preserve">doty</w:t>
      </w:r>
      <w:r>
        <w:t xml:space="preserve">) delimited by a plus sign (</w:t>
      </w:r>
      <w:r>
        <w:rPr>
          <w:rStyle w:val="VerbatimChar"/>
        </w:rPr>
        <w:t xml:space="preserve">year+day</w:t>
      </w:r>
      <w:r>
        <w:t xml:space="preserve">). As shown in</w:t>
      </w:r>
      <w:r>
        <w:t xml:space="preserve"> </w:t>
      </w:r>
      <w:hyperlink w:anchor="fig-date">
        <w:r>
          <w:rPr>
            <w:rStyle w:val="Hyperlink"/>
          </w:rPr>
          <w:t xml:space="preserve">Figure 1</w:t>
        </w:r>
      </w:hyperlink>
      <w:r>
        <w:t xml:space="preserve">, the last digit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p>
    <w:tbl>
      <w:tblPr>
        <w:tblStyle w:val="Table"/>
        <w:tblW w:type="pct" w:w="5000"/>
        <w:tblLook w:firstRow="0" w:lastRow="0" w:firstColumn="0" w:lastColumn="0" w:noHBand="0" w:noVBand="0" w:val="0000"/>
        <w:jc w:val="start"/>
      </w:tblPr>
      <w:tblGrid>
        <w:gridCol w:w="7920"/>
      </w:tblGrid>
      <w:tr>
        <w:tc>
          <w:tcPr/>
          <w:bookmarkStart w:id="27" w:name="fig-date"/>
          <w:p>
            <w:pPr>
              <w:jc w:val="center"/>
            </w:pPr>
            <w:r>
              <w:drawing>
                <wp:inline>
                  <wp:extent cx="5334000" cy="2347232"/>
                  <wp:effectExtent b="0" l="0" r="0" t="0"/>
                  <wp:docPr descr="" title="" id="25" name="Picture"/>
                  <a:graphic>
                    <a:graphicData uri="http://schemas.openxmlformats.org/drawingml/2006/picture">
                      <pic:pic>
                        <pic:nvPicPr>
                          <pic:cNvPr descr="fig-date.png" id="26" name="Picture"/>
                          <pic:cNvPicPr>
                            <a:picLocks noChangeArrowheads="1" noChangeAspect="1"/>
                          </pic:cNvPicPr>
                        </pic:nvPicPr>
                        <pic:blipFill>
                          <a:blip r:embed="rId24"/>
                          <a:stretch>
                            <a:fillRect/>
                          </a:stretch>
                        </pic:blipFill>
                        <pic:spPr bwMode="auto">
                          <a:xfrm>
                            <a:off x="0" y="0"/>
                            <a:ext cx="5334000" cy="23472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Decalendar date</w:t>
            </w:r>
          </w:p>
          <w:bookmarkEnd w:id="27"/>
        </w:tc>
      </w:tr>
    </w:tbl>
    <w:p>
      <w:pPr>
        <w:pStyle w:val="BodyText"/>
      </w:pPr>
      <w:r>
        <w:t xml:space="preserve">Each</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 two bar charts that compare the typical weekly schedule and the</w:t>
      </w:r>
      <w:r>
        <w:t xml:space="preserve"> </w:t>
      </w:r>
      <w:r>
        <w:rPr>
          <w:rStyle w:val="VerbatimChar"/>
        </w:rPr>
        <w:t xml:space="preserve">Schedule 3</w:t>
      </w:r>
      <w:r>
        <w:t xml:space="preserve"> </w:t>
      </w:r>
      <w:r>
        <w:rPr>
          <w:rStyle w:val="VerbatimChar"/>
        </w:rPr>
        <w:t xml:space="preserve">pently</w:t>
      </w:r>
      <w:r>
        <w:t xml:space="preserve"> </w:t>
      </w:r>
      <w:r>
        <w:t xml:space="preserve">schedule.</w:t>
      </w:r>
      <w:r>
        <w:t xml:space="preserve"> </w:t>
      </w:r>
      <w:hyperlink w:anchor="sec-pently">
        <w:r>
          <w:rPr>
            <w:rStyle w:val="Hyperlink"/>
          </w:rPr>
          <w:t xml:space="preserve">Section 7.4.3.1</w:t>
        </w:r>
      </w:hyperlink>
      <w:r>
        <w:t xml:space="preserve"> </w:t>
      </w:r>
      <w:r>
        <w:t xml:space="preserve">provides more information on the</w:t>
      </w:r>
      <w:r>
        <w:t xml:space="preserve"> </w:t>
      </w:r>
      <w:r>
        <w:rPr>
          <w:rStyle w:val="VerbatimChar"/>
        </w:rPr>
        <w:t xml:space="preserve">pently</w:t>
      </w:r>
      <w:r>
        <w:t xml:space="preserve"> </w:t>
      </w:r>
      <w:r>
        <w:t xml:space="preserve">schedules. 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w:t>
      </w:r>
    </w:p>
    <w:bookmarkStart w:id="28" w:name="exm-glance"/>
    <w:p>
      <w:pPr>
        <w:pStyle w:val="BodyText"/>
      </w:pPr>
      <w:r>
        <w:rPr>
          <w:bCs/>
          <w:b/>
        </w:rPr>
        <w:t xml:space="preserve">Example 1</w:t>
      </w:r>
      <w:r>
        <w:rPr>
          <w:bCs/>
          <w:b/>
        </w:rPr>
        <w:t xml:space="preserve"> </w:t>
      </w:r>
      <w:r>
        <w:t xml:space="preserve"> </w:t>
      </w:r>
    </w:p>
    <w:bookmarkEnd w:id="28"/>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rPr>
          <w:rStyle w:val="OperatorTok"/>
        </w:rPr>
        <w:t xml:space="preserve">;</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r>
        <w:rPr>
          <w:rStyle w:val="OperatorTok"/>
        </w:rPr>
        <w:t xml:space="preserve">;</w:t>
      </w:r>
    </w:p>
    <w:tbl>
      <w:tblPr>
        <w:tblStyle w:val="Table"/>
        <w:tblW w:type="pct" w:w="5000"/>
        <w:tblLook w:firstRow="0" w:lastRow="0" w:firstColumn="0" w:lastColumn="0" w:noHBand="0" w:noVBand="0" w:val="0000"/>
        <w:jc w:val="start"/>
      </w:tblPr>
      <w:tblGrid>
        <w:gridCol w:w="7920"/>
      </w:tblGrid>
      <w:tr>
        <w:tc>
          <w:tcPr/>
          <w:bookmarkStart w:id="37"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2" w:name="fig-schedules-1"/>
                      <w:p>
                        <w:pPr>
                          <w:jc w:val="center"/>
                          <w:jc w:val="center"/>
                          <w:jc w:val="center"/>
                        </w:pPr>
                        <w:r>
                          <w:drawing>
                            <wp:inline>
                              <wp:extent cx="2971800" cy="2370241"/>
                              <wp:effectExtent b="0" l="0" r="0" t="0"/>
                              <wp:docPr descr="" title="" id="30" name="Picture"/>
                              <a:graphic>
                                <a:graphicData uri="http://schemas.openxmlformats.org/drawingml/2006/picture">
                                  <pic:pic>
                                    <pic:nvPicPr>
                                      <pic:cNvPr descr="decalendar_tabset_files/figure-docx/fig-schedules-output-1.png" id="31" name="Picture"/>
                                      <pic:cNvPicPr>
                                        <a:picLocks noChangeArrowheads="1" noChangeAspect="1"/>
                                      </pic:cNvPicPr>
                                    </pic:nvPicPr>
                                    <pic:blipFill>
                                      <a:blip r:embed="rId29"/>
                                      <a:stretch>
                                        <a:fillRect/>
                                      </a:stretch>
                                    </pic:blipFill>
                                    <pic:spPr bwMode="auto">
                                      <a:xfrm>
                                        <a:off x="0" y="0"/>
                                        <a:ext cx="2971800" cy="237024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32"/>
                    </w:tc>
                  </w:tr>
                </w:tbl>
                <w:p/>
              </w:tc>
              <w:tc>
                <w:tcPr/>
                <w:tbl>
                  <w:tblPr>
                    <w:tblStyle w:val="Table"/>
                    <w:tblW w:type="pct" w:w="5000"/>
                    <w:tblLook w:firstRow="0" w:lastRow="0" w:firstColumn="0" w:lastColumn="0" w:noHBand="0" w:noVBand="0" w:val="0000"/>
                    <w:jc w:val="start"/>
                  </w:tblPr>
                  <w:tblGrid>
                    <w:gridCol w:w="7920"/>
                  </w:tblGrid>
                  <w:tr>
                    <w:tc>
                      <w:tcPr/>
                      <w:bookmarkStart w:id="36" w:name="fig-schedules-2"/>
                      <w:p>
                        <w:pPr>
                          <w:jc w:val="center"/>
                          <w:jc w:val="center"/>
                          <w:jc w:val="center"/>
                        </w:pPr>
                        <w:r>
                          <w:drawing>
                            <wp:inline>
                              <wp:extent cx="2971800" cy="2370241"/>
                              <wp:effectExtent b="0" l="0" r="0" t="0"/>
                              <wp:docPr descr="" title="" id="34" name="Picture"/>
                              <a:graphic>
                                <a:graphicData uri="http://schemas.openxmlformats.org/drawingml/2006/picture">
                                  <pic:pic>
                                    <pic:nvPicPr>
                                      <pic:cNvPr descr="decalendar_tabset_files/figure-docx/fig-schedules-output-2.png" id="35" name="Picture"/>
                                      <pic:cNvPicPr>
                                        <a:picLocks noChangeArrowheads="1" noChangeAspect="1"/>
                                      </pic:cNvPicPr>
                                    </pic:nvPicPr>
                                    <pic:blipFill>
                                      <a:blip r:embed="rId33"/>
                                      <a:stretch>
                                        <a:fillRect/>
                                      </a:stretch>
                                    </pic:blipFill>
                                    <pic:spPr bwMode="auto">
                                      <a:xfrm>
                                        <a:off x="0" y="0"/>
                                        <a:ext cx="2971800" cy="237024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36"/>
                    </w:tc>
                  </w:tr>
                </w:tbl>
                <w:p/>
              </w:tc>
            </w:tr>
          </w:tbl>
          <w:p>
            <w:pPr>
              <w:jc w:val="center"/>
            </w:pPr>
            <w:pPr>
              <w:jc w:val="start"/>
              <w:spacing w:before="200"/>
              <w:pStyle w:val="ImageCaption"/>
            </w:pPr>
            <w:pPr>
              <w:spacing w:before="200"/>
              <w:pStyle w:val="ImageCaption"/>
            </w:pPr>
            <w:r>
              <w:t xml:space="preserve">Figure 2: Weekly and pently schedule comparison</w:t>
            </w:r>
          </w:p>
          <w:bookmarkEnd w:id="37"/>
        </w:tc>
      </w:tr>
    </w:tbl>
    <w:p>
      <w:pPr>
        <w:pStyle w:val="BodyText"/>
      </w:pPr>
      <w:r>
        <w:t xml:space="preserve">In contrast, the proportions of the day in</w:t>
      </w:r>
      <w:r>
        <w:t xml:space="preserve"> </w:t>
      </w:r>
      <w:r>
        <w:rPr>
          <w:rStyle w:val="VerbatimChar"/>
        </w:rPr>
        <w:t xml:space="preserve">pently</w:t>
      </w:r>
      <w:r>
        <w:t xml:space="preserve"> </w:t>
      </w:r>
      <w:r>
        <w:t xml:space="preserve">schedules are never</w:t>
      </w:r>
      <w:r>
        <w:t xml:space="preserve"> </w:t>
      </w:r>
      <w:hyperlink r:id="rId38">
        <w:r>
          <w:rPr>
            <w:rStyle w:val="Hyperlink"/>
          </w:rPr>
          <w:t xml:space="preserve">repeating decimal</w:t>
        </w:r>
      </w:hyperlink>
      <w:r>
        <w:t xml:space="preserve"> </w:t>
      </w:r>
      <w:r>
        <w:t xml:space="preserve">numbers. In</w:t>
      </w:r>
      <w:r>
        <w:t xml:space="preserve"> </w:t>
      </w:r>
      <w:r>
        <w:rPr>
          <w:rStyle w:val="VerbatimChar"/>
        </w:rPr>
        <w:t xml:space="preserve">Schedule 3</w:t>
      </w:r>
      <w:r>
        <w:t xml:space="preserve">, there are 3 workdays separated by a 2-day</w:t>
      </w:r>
      <w:r>
        <w:t xml:space="preserve"> </w:t>
      </w:r>
      <w:r>
        <w:rPr>
          <w:rStyle w:val="VerbatimChar"/>
        </w:rPr>
        <w:t xml:space="preserve">pentend</w:t>
      </w:r>
      <w:r>
        <w:t xml:space="preserve">.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r>
        <w:rPr>
          <w:rStyle w:val="VerbatimChar"/>
        </w:rPr>
        <w:t xml:space="preserve">Declock</w:t>
      </w:r>
      <w:r>
        <w:t xml:space="preserve"> </w:t>
      </w:r>
      <w:r>
        <w:t xml:space="preserve">uses such proportions of the day instead of hours, minutes, or seconds.</w:t>
      </w:r>
      <w:r>
        <w:t xml:space="preserve"> </w:t>
      </w:r>
      <w:hyperlink w:anchor="fig-time">
        <w:r>
          <w:rPr>
            <w:rStyle w:val="Hyperlink"/>
          </w:rPr>
          <w:t xml:space="preserve">Figure 3</w:t>
        </w:r>
      </w:hyperlink>
      <w:r>
        <w:t xml:space="preserve"> </w:t>
      </w:r>
      <w:r>
        <w:t xml:space="preserve">shows midnight, the first moment of a new</w:t>
      </w:r>
      <w:r>
        <w:t xml:space="preserve"> </w:t>
      </w:r>
      <w:r>
        <w:rPr>
          <w:rStyle w:val="VerbatimChar"/>
        </w:rPr>
        <w:t xml:space="preserve">Declock</w:t>
      </w:r>
      <w:r>
        <w:t xml:space="preserve"> </w:t>
      </w:r>
      <w:r>
        <w:t xml:space="preserve">day, with labels for the most important</w:t>
      </w:r>
      <w:r>
        <w:t xml:space="preserve"> </w:t>
      </w:r>
      <w:r>
        <w:rPr>
          <w:rStyle w:val="VerbatimChar"/>
        </w:rPr>
        <w:t xml:space="preserve">Declock</w:t>
      </w:r>
      <w:r>
        <w:t xml:space="preserve"> </w:t>
      </w:r>
      <w:r>
        <w:t xml:space="preserve">units. More information on</w:t>
      </w:r>
      <w:r>
        <w:t xml:space="preserve"> </w:t>
      </w:r>
      <w:r>
        <w:rPr>
          <w:rStyle w:val="VerbatimChar"/>
        </w:rPr>
        <w:t xml:space="preserve">Declock</w:t>
      </w:r>
      <w:r>
        <w:t xml:space="preserve"> </w:t>
      </w:r>
      <w:r>
        <w:t xml:space="preserve">units is provided in</w:t>
      </w:r>
      <w:r>
        <w:t xml:space="preserve"> </w:t>
      </w:r>
      <w:hyperlink w:anchor="sec-unit">
        <w:r>
          <w:rPr>
            <w:rStyle w:val="Hyperlink"/>
          </w:rPr>
          <w:t xml:space="preserve">Section 4</w:t>
        </w:r>
      </w:hyperlink>
      <w:r>
        <w:t xml:space="preserve">.</w:t>
      </w:r>
    </w:p>
    <w:tbl>
      <w:tblPr>
        <w:tblStyle w:val="Table"/>
        <w:tblW w:type="pct" w:w="5000"/>
        <w:tblLook w:firstRow="0" w:lastRow="0" w:firstColumn="0" w:lastColumn="0" w:noHBand="0" w:noVBand="0" w:val="0000"/>
        <w:jc w:val="start"/>
      </w:tblPr>
      <w:tblGrid>
        <w:gridCol w:w="7920"/>
      </w:tblGrid>
      <w:tr>
        <w:tc>
          <w:tcPr/>
          <w:bookmarkStart w:id="42" w:name="fig-time"/>
          <w:p>
            <w:pPr>
              <w:jc w:val="center"/>
            </w:pPr>
            <w:r>
              <w:drawing>
                <wp:inline>
                  <wp:extent cx="5334000" cy="2326967"/>
                  <wp:effectExtent b="0" l="0" r="0" t="0"/>
                  <wp:docPr descr="" title="" id="40" name="Picture"/>
                  <a:graphic>
                    <a:graphicData uri="http://schemas.openxmlformats.org/drawingml/2006/picture">
                      <pic:pic>
                        <pic:nvPicPr>
                          <pic:cNvPr descr="fig-time.png" id="41" name="Picture"/>
                          <pic:cNvPicPr>
                            <a:picLocks noChangeArrowheads="1" noChangeAspect="1"/>
                          </pic:cNvPicPr>
                        </pic:nvPicPr>
                        <pic:blipFill>
                          <a:blip r:embed="rId39"/>
                          <a:stretch>
                            <a:fillRect/>
                          </a:stretch>
                        </pic:blipFill>
                        <pic:spPr bwMode="auto">
                          <a:xfrm>
                            <a:off x="0" y="0"/>
                            <a:ext cx="5334000" cy="23269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 Decalendar time</w:t>
            </w:r>
          </w:p>
          <w:bookmarkEnd w:id="42"/>
        </w:tc>
      </w:tr>
    </w:tbl>
    <w:bookmarkEnd w:id="43"/>
    <w:bookmarkStart w:id="55" w:name="sec-basics"/>
    <w:p>
      <w:pPr>
        <w:pStyle w:val="Heading1"/>
      </w:pPr>
      <w:r>
        <w:t xml:space="preserve">3. Basic concepts</w:t>
      </w:r>
    </w:p>
    <w:bookmarkStart w:id="45" w:name="sec-frac"/>
    <w:p>
      <w:pPr>
        <w:pStyle w:val="Heading2"/>
      </w:pPr>
      <w:r>
        <w:t xml:space="preserve">3.1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4">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45"/>
    <w:bookmarkStart w:id="47" w:name="sec-imp"/>
    <w:p>
      <w:pPr>
        <w:pStyle w:val="Heading2"/>
      </w:pPr>
      <w:r>
        <w:t xml:space="preserve">3.2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46">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47"/>
    <w:bookmarkStart w:id="48" w:name="sec-context"/>
    <w:p>
      <w:pPr>
        <w:pStyle w:val="Heading2"/>
      </w:pPr>
      <w:r>
        <w:t xml:space="preserve">3.3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48"/>
    <w:bookmarkStart w:id="52" w:name="sec-neg"/>
    <w:p>
      <w:pPr>
        <w:pStyle w:val="Heading2"/>
      </w:pPr>
      <w:r>
        <w:t xml:space="preserve">3.4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49">
        <w:r>
          <w:rPr>
            <w:rStyle w:val="Hyperlink"/>
          </w:rPr>
          <w:t xml:space="preserve">zero-based indexes</w:t>
        </w:r>
      </w:hyperlink>
      <w:r>
        <w:t xml:space="preserve"> </w:t>
      </w:r>
      <w:r>
        <w:t xml:space="preserve">in</w:t>
      </w:r>
      <w:r>
        <w:t xml:space="preserve"> </w:t>
      </w:r>
      <w:hyperlink r:id="rId50">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51">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3.1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bookmarkEnd w:id="52"/>
    <w:bookmarkStart w:id="53" w:name="sec-stamp"/>
    <w:p>
      <w:pPr>
        <w:pStyle w:val="Heading2"/>
      </w:pPr>
      <w:r>
        <w:t xml:space="preserve">3.5</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53"/>
    <w:bookmarkStart w:id="54" w:name="sec-specific"/>
    <w:p>
      <w:pPr>
        <w:pStyle w:val="Heading2"/>
      </w:pPr>
      <w:r>
        <w:t xml:space="preserve">3.6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3.5</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 first</w:t>
      </w:r>
      <w:r>
        <w:t xml:space="preserve"> </w:t>
      </w:r>
      <w:r>
        <w:rPr>
          <w:rStyle w:val="VerbatimChar"/>
        </w:rPr>
        <w:t xml:space="preserve">doty</w:t>
      </w:r>
      <w:r>
        <w:t xml:space="preserve"> </w:t>
      </w:r>
      <w:r>
        <w:t xml:space="preserve">of 1969, would be written</w:t>
      </w:r>
      <w:r>
        <w:t xml:space="preserve"> </w:t>
      </w:r>
      <w:r>
        <w:rPr>
          <w:rStyle w:val="VerbatimChar"/>
        </w:rPr>
        <w:t xml:space="preserve">1969+000</w:t>
      </w:r>
      <w:r>
        <w:t xml:space="preserve"> </w:t>
      </w:r>
      <w:r>
        <w:t xml:space="preserve">and said</w:t>
      </w:r>
      <w:r>
        <w:t xml:space="preserve"> </w:t>
      </w:r>
      <w:r>
        <w:t xml:space="preserve">“</w:t>
      </w:r>
      <w:r>
        <w:rPr>
          <w:rStyle w:val="VerbatimChar"/>
        </w:rPr>
        <w:t xml:space="preserve">Year 1969 Day 0</w:t>
      </w:r>
      <w:r>
        <w:t xml:space="preserve">”</w:t>
      </w:r>
      <w:r>
        <w:t xml:space="preserve"> </w:t>
      </w:r>
      <w:r>
        <w:t xml:space="preserve">or simply</w:t>
      </w:r>
      <w:r>
        <w:t xml:space="preserve"> </w:t>
      </w:r>
      <w:r>
        <w:t xml:space="preserve">“</w:t>
      </w:r>
      <w:r>
        <w:rPr>
          <w:rStyle w:val="VerbatimChar"/>
        </w:rPr>
        <w:t xml:space="preserve">1969 0</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rPr>
          <w:rStyle w:val="VerbatimChar"/>
        </w:rPr>
        <w:t xml:space="preserve">Dot 0 Zone 0</w:t>
      </w:r>
      <w:r>
        <w:t xml:space="preserve">”</w:t>
      </w:r>
      <w:r>
        <w:t xml:space="preserve">,</w:t>
      </w:r>
      <w:r>
        <w:t xml:space="preserve"> </w:t>
      </w:r>
      <w:r>
        <w:t xml:space="preserve">“</w:t>
      </w:r>
      <w:r>
        <w:rPr>
          <w:rStyle w:val="VerbatimChar"/>
        </w:rPr>
        <w:t xml:space="preserve">0 Zone 0</w:t>
      </w:r>
      <w:r>
        <w:t xml:space="preserve">”</w:t>
      </w:r>
      <w:r>
        <w:t xml:space="preserve">, or</w:t>
      </w:r>
      <w:r>
        <w:t xml:space="preserve"> </w:t>
      </w:r>
      <w:r>
        <w:t xml:space="preserve">“</w:t>
      </w:r>
      <w:r>
        <w:rPr>
          <w:rStyle w:val="VerbatimChar"/>
        </w:rPr>
        <w:t xml:space="preserve">0 0</w:t>
      </w:r>
      <w:r>
        <w:t xml:space="preserve">”</w:t>
      </w:r>
      <w:r>
        <w:t xml:space="preserve">. Combined together, this date and time form the</w:t>
      </w:r>
      <w:r>
        <w:t xml:space="preserve"> </w:t>
      </w:r>
      <w:r>
        <w:rPr>
          <w:rStyle w:val="VerbatimChar"/>
        </w:rPr>
        <w:t xml:space="preserve">stamp</w:t>
      </w:r>
      <w:r>
        <w:t xml:space="preserve"> </w:t>
      </w:r>
      <w:r>
        <w:rPr>
          <w:rStyle w:val="VerbatimChar"/>
        </w:rPr>
        <w:t xml:space="preserve">1969+000.000+0</w:t>
      </w:r>
      <w:r>
        <w:t xml:space="preserve">.</w:t>
      </w:r>
    </w:p>
    <w:bookmarkEnd w:id="54"/>
    <w:bookmarkEnd w:id="55"/>
    <w:bookmarkStart w:id="59" w:name="sec-unit"/>
    <w:p>
      <w:pPr>
        <w:pStyle w:val="Heading1"/>
      </w:pPr>
      <w:r>
        <w:t xml:space="preserve">4. Units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pecific">
        <w:r>
          <w:rPr>
            <w:rStyle w:val="Hyperlink"/>
          </w:rPr>
          <w:t xml:space="preserve">Section 3.6</w:t>
        </w:r>
      </w:hyperlink>
      <w:r>
        <w:t xml:space="preserve"> </w:t>
      </w:r>
      <w:r>
        <w:t xml:space="preserve">use three digits for the times because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1</w:t>
        </w:r>
      </w:hyperlink>
      <w:r>
        <w:t xml:space="preserve">, highlights the relationship between the two:</w:t>
      </w:r>
    </w:p>
    <w:bookmarkStart w:id="58" w:name="tbl-unit"/>
    <w:p>
      <w:pPr>
        <w:pStyle w:val="Heading4"/>
      </w:pPr>
      <w:hyperlink w:anchor="tbl-unit">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56" w:name="tbl-unit"/>
          <w:p>
            <w:pPr>
              <w:pStyle w:val="TableCaption"/>
            </w:pPr>
            <w:r>
              <w:t xml:space="preserve">Table 1: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1: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56"/>
        </w:tc>
      </w:tr>
    </w:tbl>
    <w:p>
      <w:pPr>
        <w:pStyle w:val="BodyText"/>
      </w:pPr>
      <w:r>
        <w:t xml:space="preserve">In</w:t>
      </w:r>
      <w:r>
        <w:t xml:space="preserve"> </w:t>
      </w:r>
      <w:hyperlink w:anchor="tbl-unit">
        <w:r>
          <w:rPr>
            <w:rStyle w:val="Hyperlink"/>
          </w:rPr>
          <w:t xml:space="preserve">Table 1</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1</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57">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58"/>
    <w:bookmarkEnd w:id="59"/>
    <w:bookmarkStart w:id="62" w:name="sec-zone"/>
    <w:p>
      <w:pPr>
        <w:pStyle w:val="Heading1"/>
      </w:pPr>
      <w:r>
        <w:t xml:space="preserve">5.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60">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61">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62"/>
    <w:bookmarkStart w:id="235" w:name="sec-related"/>
    <w:p>
      <w:pPr>
        <w:pStyle w:val="Heading1"/>
      </w:pPr>
      <w:r>
        <w:t xml:space="preserve">6. Related systems</w:t>
      </w:r>
    </w:p>
    <w:bookmarkStart w:id="104" w:name="sec-greg"/>
    <w:p>
      <w:pPr>
        <w:pStyle w:val="Heading2"/>
      </w:pPr>
      <w:r>
        <w:t xml:space="preserve">6.1 Gregorian calendar</w:t>
      </w:r>
    </w:p>
    <w:bookmarkStart w:id="69" w:name="sec-coor"/>
    <w:p>
      <w:pPr>
        <w:pStyle w:val="Heading3"/>
      </w:pPr>
      <w:r>
        <w:t xml:space="preserve">6.1.1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63">
        <w:r>
          <w:rPr>
            <w:rStyle w:val="Hyperlink"/>
          </w:rPr>
          <w:t xml:space="preserve">geographic coordinate system</w:t>
        </w:r>
      </w:hyperlink>
      <w:r>
        <w:t xml:space="preserve"> </w:t>
      </w:r>
      <w:r>
        <w:t xml:space="preserve">or x and y in the</w:t>
      </w:r>
      <w:r>
        <w:t xml:space="preserve"> </w:t>
      </w:r>
      <w:hyperlink r:id="rId64">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2</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2</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3</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3</w:t>
        </w:r>
      </w:hyperlink>
      <w:r>
        <w:t xml:space="preserve"> </w:t>
      </w:r>
      <w:r>
        <w:t xml:space="preserve">are shown in</w:t>
      </w:r>
      <w:r>
        <w:t xml:space="preserve"> </w:t>
      </w:r>
      <w:r>
        <w:rPr>
          <w:rStyle w:val="VerbatimChar"/>
        </w:rPr>
        <w:t xml:space="preserve">mm-dd</w:t>
      </w:r>
      <w:r>
        <w:t xml:space="preserve"> </w:t>
      </w:r>
      <w:r>
        <w:t xml:space="preserve">format.</w:t>
      </w:r>
    </w:p>
    <w:bookmarkStart w:id="66" w:name="tbl-greg2doty"/>
    <w:p>
      <w:pPr>
        <w:pStyle w:val="Heading4"/>
      </w:pPr>
      <w:hyperlink w:anchor="tbl-greg2doty">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65" w:name="tbl-greg2doty"/>
          <w:p>
            <w:pPr>
              <w:pStyle w:val="TableCaption"/>
            </w:pPr>
            <w:r>
              <w:t xml:space="preserve">Table 2: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2: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65"/>
        </w:tc>
      </w:tr>
    </w:tbl>
    <w:bookmarkEnd w:id="66"/>
    <w:bookmarkStart w:id="68" w:name="tbl-doty2greg"/>
    <w:p>
      <w:pPr>
        <w:pStyle w:val="Heading4"/>
      </w:pPr>
      <w:hyperlink w:anchor="tbl-doty2greg">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67" w:name="tbl-doty2greg"/>
          <w:p>
            <w:pPr>
              <w:pStyle w:val="TableCaption"/>
            </w:pPr>
            <w:r>
              <w:t xml:space="preserve">Table 3:</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3: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67"/>
        </w:tc>
      </w:tr>
    </w:tbl>
    <w:bookmarkEnd w:id="68"/>
    <w:bookmarkEnd w:id="69"/>
    <w:bookmarkStart w:id="83" w:name="sec-conv"/>
    <w:p>
      <w:pPr>
        <w:pStyle w:val="Heading3"/>
      </w:pPr>
      <w:r>
        <w:t xml:space="preserve">6.1.2 Gregorian calendar date conversion</w:t>
      </w:r>
    </w:p>
    <w:p>
      <w:pPr>
        <w:pStyle w:val="FirstParagraph"/>
      </w:pPr>
      <w:r>
        <w:t xml:space="preserve">In addition to using a conversion table like</w:t>
      </w:r>
      <w:r>
        <w:t xml:space="preserve"> </w:t>
      </w:r>
      <w:hyperlink w:anchor="tbl-greg2doty">
        <w:r>
          <w:rPr>
            <w:rStyle w:val="Hyperlink"/>
          </w:rPr>
          <w:t xml:space="preserve">Table 2</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70">
        <w:r>
          <w:rPr>
            <w:rStyle w:val="VerbatimChar"/>
          </w:rPr>
          <w:t xml:space="preserve">days_from_civil</w:t>
        </w:r>
      </w:hyperlink>
      <w:r>
        <w:t xml:space="preserve"> </w:t>
      </w:r>
      <w:r>
        <w:t xml:space="preserve">and</w:t>
      </w:r>
      <w:r>
        <w:t xml:space="preserve"> </w:t>
      </w:r>
      <w:hyperlink r:id="rId71">
        <w:r>
          <w:rPr>
            <w:rStyle w:val="VerbatimChar"/>
          </w:rPr>
          <w:t xml:space="preserve">civil_from_days</w:t>
        </w:r>
      </w:hyperlink>
      <w:r>
        <w:t xml:space="preserve"> </w:t>
      </w:r>
      <w:r>
        <w:t xml:space="preserve">algorithms described by</w:t>
      </w:r>
      <w:r>
        <w:t xml:space="preserve"> </w:t>
      </w:r>
      <w:hyperlink r:id="rId72">
        <w:r>
          <w:rPr>
            <w:rStyle w:val="Hyperlink"/>
          </w:rPr>
          <w:t xml:space="preserve">Howard Hinnant</w:t>
        </w:r>
      </w:hyperlink>
      <w:r>
        <w:t xml:space="preserve"> </w:t>
      </w:r>
      <w:r>
        <w:t xml:space="preserve">in</w:t>
      </w:r>
      <w:r>
        <w:t xml:space="preserve"> </w:t>
      </w:r>
      <w:hyperlink r:id="rId73">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74" w:name="exm-coor"/>
    <w:p>
      <w:pPr>
        <w:pStyle w:val="BodyText"/>
      </w:pPr>
      <w:r>
        <w:rPr>
          <w:bCs/>
          <w:b/>
        </w:rPr>
        <w:t xml:space="preserve">Example 2</w:t>
      </w:r>
      <w:r>
        <w:rPr>
          <w:bCs/>
          <w:b/>
        </w:rPr>
        <w:t xml:space="preserve"> </w:t>
      </w:r>
      <w:r>
        <w:t xml:space="preserve"> </w:t>
      </w:r>
    </w:p>
    <w:bookmarkEnd w:id="74"/>
    <w:p>
      <w:pPr>
        <w:pStyle w:val="Heading4"/>
      </w:pPr>
      <w:r>
        <w:t xml:space="preserve">JavaScript</w:t>
      </w:r>
    </w:p>
    <w:bookmarkStart w:id="75"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75"/>
    <w:bookmarkStart w:id="76"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76"/>
    <w:p>
      <w:pPr>
        <w:pStyle w:val="Heading4"/>
      </w:pPr>
      <w:r>
        <w:t xml:space="preserve">Julia</w:t>
      </w:r>
    </w:p>
    <w:bookmarkStart w:id="77"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77"/>
    <w:bookmarkStart w:id="78"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78"/>
    <w:p>
      <w:pPr>
        <w:pStyle w:val="Heading4"/>
      </w:pPr>
      <w:r>
        <w:t xml:space="preserve">Python</w:t>
      </w:r>
    </w:p>
    <w:bookmarkStart w:id="79"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79"/>
    <w:bookmarkStart w:id="80"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80"/>
    <w:p>
      <w:pPr>
        <w:pStyle w:val="Heading4"/>
      </w:pPr>
      <w:r>
        <w:t xml:space="preserve">R</w:t>
      </w:r>
    </w:p>
    <w:bookmarkStart w:id="81"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81"/>
    <w:bookmarkStart w:id="82"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82"/>
    <w:bookmarkEnd w:id="83"/>
    <w:bookmarkStart w:id="95" w:name="sec-gregm"/>
    <w:p>
      <w:pPr>
        <w:pStyle w:val="Heading3"/>
      </w:pPr>
      <w:r>
        <w:t xml:space="preserve">6.1.3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4</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86" w:name="tbl-gregm"/>
    <w:p>
      <w:pPr>
        <w:pStyle w:val="Heading4"/>
      </w:pPr>
      <w:hyperlink w:anchor="tbl-gregm">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84" w:name="tbl-gregm"/>
          <w:p>
            <w:pPr>
              <w:pStyle w:val="TableCaption"/>
            </w:pPr>
            <w:r>
              <w:t xml:space="preserve">Table 4: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4: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84"/>
        </w:tc>
      </w:tr>
    </w:tbl>
    <w:bookmarkStart w:id="85" w:name="exm-gregm"/>
    <w:p>
      <w:pPr>
        <w:pStyle w:val="BodyText"/>
      </w:pPr>
      <w:r>
        <w:rPr>
          <w:bCs/>
          <w:b/>
        </w:rPr>
        <w:t xml:space="preserve">Example 3</w:t>
      </w:r>
      <w:r>
        <w:rPr>
          <w:bCs/>
          <w:b/>
        </w:rPr>
        <w:t xml:space="preserve"> </w:t>
      </w:r>
      <w:r>
        <w:t xml:space="preserve"> </w:t>
      </w:r>
    </w:p>
    <w:bookmarkEnd w:id="85"/>
    <w:bookmarkEnd w:id="86"/>
    <w:p>
      <w:pPr>
        <w:pStyle w:val="Heading4"/>
      </w:pPr>
      <w:r>
        <w:t xml:space="preserve">JavaScript</w:t>
      </w:r>
    </w:p>
    <w:bookmarkStart w:id="87"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87"/>
    <w:bookmarkStart w:id="88"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88"/>
    <w:p>
      <w:pPr>
        <w:pStyle w:val="Heading4"/>
      </w:pPr>
      <w:r>
        <w:t xml:space="preserve">Julia</w:t>
      </w:r>
    </w:p>
    <w:bookmarkStart w:id="89"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89"/>
    <w:bookmarkStart w:id="90"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90"/>
    <w:p>
      <w:pPr>
        <w:pStyle w:val="Heading4"/>
      </w:pPr>
      <w:r>
        <w:t xml:space="preserve">Python</w:t>
      </w:r>
    </w:p>
    <w:bookmarkStart w:id="91"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91"/>
    <w:bookmarkStart w:id="92"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92"/>
    <w:p>
      <w:pPr>
        <w:pStyle w:val="Heading4"/>
      </w:pPr>
      <w:r>
        <w:t xml:space="preserve">R</w:t>
      </w:r>
    </w:p>
    <w:bookmarkStart w:id="93"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93"/>
    <w:bookmarkStart w:id="94"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94"/>
    <w:bookmarkEnd w:id="95"/>
    <w:bookmarkStart w:id="103" w:name="sec-gregl"/>
    <w:p>
      <w:pPr>
        <w:pStyle w:val="Heading3"/>
      </w:pPr>
      <w:r>
        <w:t xml:space="preserve">6.1.4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96">
        <w:r>
          <w:rPr>
            <w:rStyle w:val="VerbatimChar"/>
          </w:rPr>
          <w:t xml:space="preserve">leap_year</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4</w:t>
        </w:r>
      </w:hyperlink>
      <w:r>
        <w:t xml:space="preserve">.</w:t>
      </w:r>
    </w:p>
    <w:p>
      <w:pPr>
        <w:pStyle w:val="BodyText"/>
      </w:pPr>
      <w:bookmarkStart w:id="97"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97"/>
    </w:p>
    <w:bookmarkStart w:id="98" w:name="exm-gregl"/>
    <w:p>
      <w:pPr>
        <w:pStyle w:val="FirstParagraph"/>
      </w:pPr>
      <w:r>
        <w:rPr>
          <w:bCs/>
          <w:b/>
        </w:rPr>
        <w:t xml:space="preserve">Example 4</w:t>
      </w:r>
      <w:r>
        <w:rPr>
          <w:bCs/>
          <w:b/>
        </w:rPr>
        <w:t xml:space="preserve"> </w:t>
      </w:r>
      <w:r>
        <w:t xml:space="preserve"> </w:t>
      </w:r>
    </w:p>
    <w:bookmarkEnd w:id="98"/>
    <w:p>
      <w:pPr>
        <w:pStyle w:val="Heading4"/>
      </w:pPr>
      <w:r>
        <w:t xml:space="preserve">JavaScript</w:t>
      </w:r>
    </w:p>
    <w:bookmarkStart w:id="99"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99"/>
    <w:p>
      <w:pPr>
        <w:pStyle w:val="Heading4"/>
      </w:pPr>
      <w:r>
        <w:t xml:space="preserve">Julia</w:t>
      </w:r>
    </w:p>
    <w:bookmarkStart w:id="100"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100"/>
    <w:p>
      <w:pPr>
        <w:pStyle w:val="Heading4"/>
      </w:pPr>
      <w:r>
        <w:t xml:space="preserve">Python</w:t>
      </w:r>
    </w:p>
    <w:bookmarkStart w:id="101" w:name="leap-2"/>
    <w:p>
      <w:pPr>
        <w:pStyle w:val="Heading5"/>
      </w:pPr>
      <w:r>
        <w:rPr>
          <w:rStyle w:val="VerbatimChar"/>
        </w:rPr>
        <w:t xml:space="preserve">leap</w:t>
      </w:r>
    </w:p>
    <w:p>
      <w:pPr>
        <w:pStyle w:val="SourceCode"/>
      </w:pPr>
      <w:r>
        <w:rPr>
          <w:rStyle w:val="KeywordTok"/>
        </w:rPr>
        <w:t xml:space="preserve">def</w:t>
      </w:r>
      <w:r>
        <w:rPr>
          <w:rStyle w:val="NormalTok"/>
        </w:rPr>
        <w:t xml:space="preserve"> leap_year(year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leap_year()</w:t>
      </w:r>
    </w:p>
    <w:p>
      <w:pPr>
        <w:pStyle w:val="SourceCode"/>
      </w:pPr>
      <w:r>
        <w:rPr>
          <w:rStyle w:val="VerbatimChar"/>
        </w:rPr>
        <w:t xml:space="preserve">False</w:t>
      </w:r>
    </w:p>
    <w:bookmarkEnd w:id="101"/>
    <w:p>
      <w:pPr>
        <w:pStyle w:val="Heading4"/>
      </w:pPr>
      <w:r>
        <w:t xml:space="preserve">R</w:t>
      </w:r>
    </w:p>
    <w:bookmarkStart w:id="102" w:name="leap-3"/>
    <w:p>
      <w:pPr>
        <w:pStyle w:val="Heading5"/>
      </w:pPr>
      <w:r>
        <w:rPr>
          <w:rStyle w:val="VerbatimChar"/>
        </w:rPr>
        <w:t xml:space="preserve">leap</w:t>
      </w:r>
    </w:p>
    <w:p>
      <w:pPr>
        <w:pStyle w:val="SourceCode"/>
      </w:pPr>
      <w:r>
        <w:rPr>
          <w:rStyle w:val="NormalTok"/>
        </w:rPr>
        <w:t xml:space="preserve">leap_year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Unable to display output for mime type(s): text/html</w:t>
      </w:r>
    </w:p>
    <w:bookmarkEnd w:id="102"/>
    <w:bookmarkEnd w:id="103"/>
    <w:bookmarkEnd w:id="104"/>
    <w:bookmarkStart w:id="192" w:name="sec-iso"/>
    <w:p>
      <w:pPr>
        <w:pStyle w:val="Heading2"/>
      </w:pPr>
      <w:r>
        <w:t xml:space="preserve">6.2 ISO 8601</w:t>
      </w:r>
    </w:p>
    <w:bookmarkStart w:id="109" w:name="sec-isoy"/>
    <w:p>
      <w:pPr>
        <w:pStyle w:val="Heading3"/>
      </w:pPr>
      <w:r>
        <w:t xml:space="preserve">6.2.1 Years</w:t>
      </w:r>
    </w:p>
    <w:p>
      <w:pPr>
        <w:pStyle w:val="FirstParagraph"/>
      </w:pPr>
      <w:hyperlink r:id="rId105">
        <w:r>
          <w:rPr>
            <w:rStyle w:val="Hyperlink"/>
          </w:rPr>
          <w:t xml:space="preserve">ISO 8601</w:t>
        </w:r>
      </w:hyperlink>
      <w:r>
        <w:t xml:space="preserve"> </w:t>
      </w:r>
      <w:r>
        <w:t xml:space="preserve">is the</w:t>
      </w:r>
      <w:r>
        <w:t xml:space="preserve"> </w:t>
      </w:r>
      <w:hyperlink r:id="rId105">
        <w:r>
          <w:rPr>
            <w:rStyle w:val="Hyperlink"/>
          </w:rPr>
          <w:t xml:space="preserve">international standard</w:t>
        </w:r>
      </w:hyperlink>
      <w:r>
        <w:t xml:space="preserve"> </w:t>
      </w:r>
      <w:r>
        <w:t xml:space="preserve">for</w:t>
      </w:r>
      <w:r>
        <w:t xml:space="preserve"> </w:t>
      </w:r>
      <w:hyperlink r:id="rId106">
        <w:r>
          <w:rPr>
            <w:rStyle w:val="Hyperlink"/>
          </w:rPr>
          <w:t xml:space="preserve">dates</w:t>
        </w:r>
      </w:hyperlink>
      <w:r>
        <w:t xml:space="preserve"> </w:t>
      </w:r>
      <w:r>
        <w:t xml:space="preserve">and</w:t>
      </w:r>
      <w:r>
        <w:t xml:space="preserve"> </w:t>
      </w:r>
      <w:hyperlink r:id="rId107">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108">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09"/>
    <w:bookmarkStart w:id="126" w:name="sec-isoo"/>
    <w:p>
      <w:pPr>
        <w:pStyle w:val="Heading3"/>
      </w:pPr>
      <w:r>
        <w:t xml:space="preserve">6.2.2 Ordinal dates</w:t>
      </w:r>
    </w:p>
    <w:p>
      <w:pPr>
        <w:pStyle w:val="FirstParagraph"/>
      </w:pPr>
      <w:r>
        <w:rPr>
          <w:rStyle w:val="VerbatimChar"/>
        </w:rPr>
        <w:t xml:space="preserve">Decalendar</w:t>
      </w:r>
      <w:r>
        <w:t xml:space="preserve"> </w:t>
      </w:r>
      <w:r>
        <w:t xml:space="preserve">ordinal (</w:t>
      </w:r>
      <w:r>
        <w:rPr>
          <w:rStyle w:val="VerbatimChar"/>
        </w:rPr>
        <w:t xml:space="preserve">deco</w:t>
      </w:r>
      <w:r>
        <w:t xml:space="preserve">) dates (</w:t>
      </w:r>
      <w:r>
        <w:rPr>
          <w:rStyle w:val="VerbatimChar"/>
        </w:rPr>
        <w:t xml:space="preserve">year+day</w:t>
      </w:r>
      <w:r>
        <w:t xml:space="preserve">) are most similar to</w:t>
      </w:r>
      <w:r>
        <w:t xml:space="preserve"> </w:t>
      </w:r>
      <w:hyperlink r:id="rId110">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49">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leap_year</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11"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11"/>
    </w:p>
    <w:p>
      <w:pPr>
        <w:pStyle w:val="FirstParagraph"/>
      </w:pPr>
      <w:bookmarkStart w:id="112"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12"/>
    </w:p>
    <w:bookmarkStart w:id="113" w:name="exm-isoo"/>
    <w:p>
      <w:pPr>
        <w:pStyle w:val="FirstParagraph"/>
      </w:pPr>
      <w:r>
        <w:rPr>
          <w:bCs/>
          <w:b/>
        </w:rPr>
        <w:t xml:space="preserve">Example 5</w:t>
      </w:r>
      <w:r>
        <w:rPr>
          <w:bCs/>
          <w:b/>
        </w:rPr>
        <w:t xml:space="preserve"> </w:t>
      </w:r>
      <w:r>
        <w:t xml:space="preserve"> </w:t>
      </w:r>
    </w:p>
    <w:bookmarkEnd w:id="113"/>
    <w:p>
      <w:pPr>
        <w:pStyle w:val="Heading4"/>
      </w:pPr>
      <w:r>
        <w:t xml:space="preserve">JavaScript</w:t>
      </w:r>
    </w:p>
    <w:bookmarkStart w:id="114"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14"/>
    <w:bookmarkStart w:id="115"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15"/>
    <w:bookmarkStart w:id="116"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16"/>
    <w:p>
      <w:pPr>
        <w:pStyle w:val="Heading4"/>
      </w:pPr>
      <w:r>
        <w:t xml:space="preserve">Julia</w:t>
      </w:r>
    </w:p>
    <w:bookmarkStart w:id="117"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17"/>
    <w:bookmarkStart w:id="118"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18"/>
    <w:bookmarkStart w:id="119"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19"/>
    <w:p>
      <w:pPr>
        <w:pStyle w:val="Heading4"/>
      </w:pPr>
      <w:r>
        <w:t xml:space="preserve">Python</w:t>
      </w:r>
    </w:p>
    <w:bookmarkStart w:id="120"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20"/>
    <w:bookmarkStart w:id="121"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21"/>
    <w:bookmarkStart w:id="122"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22"/>
    <w:p>
      <w:pPr>
        <w:pStyle w:val="Heading4"/>
      </w:pPr>
      <w:r>
        <w:t xml:space="preserve">R</w:t>
      </w:r>
    </w:p>
    <w:bookmarkStart w:id="123"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23"/>
    <w:bookmarkStart w:id="124"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24"/>
    <w:bookmarkStart w:id="125"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25"/>
    <w:bookmarkEnd w:id="126"/>
    <w:bookmarkStart w:id="138" w:name="sec-isoc"/>
    <w:p>
      <w:pPr>
        <w:pStyle w:val="Heading3"/>
      </w:pPr>
      <w:r>
        <w:t xml:space="preserve">6.2.3 Calendar dates</w:t>
      </w:r>
    </w:p>
    <w:p>
      <w:pPr>
        <w:pStyle w:val="FirstParagraph"/>
      </w:pPr>
      <w:r>
        <w:t xml:space="preserve">ISO 8601</w:t>
      </w:r>
      <w:r>
        <w:t xml:space="preserve"> </w:t>
      </w:r>
      <w:hyperlink r:id="rId127">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6.1.1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7.1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7.3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28" w:name="exm-isoc"/>
    <w:p>
      <w:pPr>
        <w:pStyle w:val="BodyText"/>
      </w:pPr>
      <w:r>
        <w:rPr>
          <w:bCs/>
          <w:b/>
        </w:rPr>
        <w:t xml:space="preserve">Example 6</w:t>
      </w:r>
      <w:r>
        <w:rPr>
          <w:bCs/>
          <w:b/>
        </w:rPr>
        <w:t xml:space="preserve"> </w:t>
      </w:r>
      <w:r>
        <w:t xml:space="preserve"> </w:t>
      </w:r>
    </w:p>
    <w:bookmarkEnd w:id="128"/>
    <w:p>
      <w:pPr>
        <w:pStyle w:val="Heading4"/>
      </w:pPr>
      <w:r>
        <w:t xml:space="preserve">JavaScript</w:t>
      </w:r>
    </w:p>
    <w:bookmarkStart w:id="129"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29"/>
    <w:bookmarkStart w:id="130"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30"/>
    <w:bookmarkStart w:id="131"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31"/>
    <w:p>
      <w:pPr>
        <w:pStyle w:val="Heading4"/>
      </w:pPr>
      <w:r>
        <w:t xml:space="preserve">Julia</w:t>
      </w:r>
    </w:p>
    <w:bookmarkStart w:id="132"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32"/>
    <w:bookmarkStart w:id="133"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33"/>
    <w:p>
      <w:pPr>
        <w:pStyle w:val="Heading4"/>
      </w:pPr>
      <w:r>
        <w:t xml:space="preserve">Python</w:t>
      </w:r>
    </w:p>
    <w:bookmarkStart w:id="134"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34"/>
    <w:bookmarkStart w:id="135"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35"/>
    <w:p>
      <w:pPr>
        <w:pStyle w:val="Heading4"/>
      </w:pPr>
      <w:r>
        <w:t xml:space="preserve">R</w:t>
      </w:r>
    </w:p>
    <w:bookmarkStart w:id="136"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36"/>
    <w:bookmarkStart w:id="137"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37"/>
    <w:bookmarkEnd w:id="138"/>
    <w:bookmarkStart w:id="151" w:name="sec-isoz"/>
    <w:p>
      <w:pPr>
        <w:pStyle w:val="Heading3"/>
      </w:pPr>
      <w:r>
        <w:t xml:space="preserve">6.2.4 Time zones</w:t>
      </w:r>
    </w:p>
    <w:p>
      <w:pPr>
        <w:pStyle w:val="FirstParagraph"/>
      </w:pPr>
      <w:r>
        <w:rPr>
          <w:rStyle w:val="VerbatimChar"/>
        </w:rPr>
        <w:t xml:space="preserve">Isoc</w:t>
      </w:r>
      <w:r>
        <w:t xml:space="preserve"> </w:t>
      </w:r>
      <w:r>
        <w:t xml:space="preserve">dates can be combined with the</w:t>
      </w:r>
      <w:r>
        <w:t xml:space="preserve"> </w:t>
      </w:r>
      <w:hyperlink r:id="rId107">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39">
        <w:r>
          <w:rPr>
            <w:rStyle w:val="Hyperlink"/>
          </w:rPr>
          <w:t xml:space="preserve">military time zone code</w:t>
        </w:r>
      </w:hyperlink>
      <w:r>
        <w:t xml:space="preserve"> </w:t>
      </w:r>
      <w:r>
        <w:t xml:space="preserve">that represents the</w:t>
      </w:r>
      <w:r>
        <w:t xml:space="preserve"> </w:t>
      </w:r>
      <w:hyperlink r:id="rId140">
        <w:r>
          <w:rPr>
            <w:rStyle w:val="Hyperlink"/>
          </w:rPr>
          <w:t xml:space="preserve">UTC+00:00</w:t>
        </w:r>
      </w:hyperlink>
      <w:r>
        <w:t xml:space="preserve"> </w:t>
      </w:r>
      <w:r>
        <w:t xml:space="preserve">time zone, which is the basis of</w:t>
      </w:r>
      <w:r>
        <w:t xml:space="preserve"> </w:t>
      </w:r>
      <w:hyperlink r:id="rId141">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5</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42" w:name="exm-isoz"/>
    <w:p>
      <w:pPr>
        <w:pStyle w:val="BodyText"/>
      </w:pPr>
      <w:r>
        <w:rPr>
          <w:bCs/>
          <w:b/>
        </w:rPr>
        <w:t xml:space="preserve">Example 7</w:t>
      </w:r>
      <w:r>
        <w:rPr>
          <w:bCs/>
          <w:b/>
        </w:rPr>
        <w:t xml:space="preserve"> </w:t>
      </w:r>
      <w:r>
        <w:t xml:space="preserve"> </w:t>
      </w:r>
    </w:p>
    <w:bookmarkEnd w:id="142"/>
    <w:p>
      <w:pPr>
        <w:pStyle w:val="Heading4"/>
      </w:pPr>
      <w:r>
        <w:t xml:space="preserve">JavaScript</w:t>
      </w:r>
    </w:p>
    <w:bookmarkStart w:id="143"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43"/>
    <w:bookmarkStart w:id="144"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44"/>
    <w:p>
      <w:pPr>
        <w:pStyle w:val="Heading4"/>
      </w:pPr>
      <w:r>
        <w:t xml:space="preserve">Julia</w:t>
      </w:r>
    </w:p>
    <w:bookmarkStart w:id="145"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45"/>
    <w:bookmarkStart w:id="146"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46"/>
    <w:p>
      <w:pPr>
        <w:pStyle w:val="Heading4"/>
      </w:pPr>
      <w:r>
        <w:t xml:space="preserve">Python</w:t>
      </w:r>
    </w:p>
    <w:bookmarkStart w:id="147"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47"/>
    <w:bookmarkStart w:id="148"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48"/>
    <w:p>
      <w:pPr>
        <w:pStyle w:val="Heading4"/>
      </w:pPr>
      <w:r>
        <w:t xml:space="preserve">R</w:t>
      </w:r>
    </w:p>
    <w:bookmarkStart w:id="149"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49"/>
    <w:bookmarkStart w:id="150"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50"/>
    <w:bookmarkEnd w:id="151"/>
    <w:bookmarkStart w:id="169" w:name="sec-isot"/>
    <w:p>
      <w:pPr>
        <w:pStyle w:val="Heading3"/>
      </w:pPr>
      <w:r>
        <w:t xml:space="preserve">6.2.5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5</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5</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 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52" w:name="eq-isot1"/>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52"/>
    </w:p>
    <w:p>
      <w:pPr>
        <w:pStyle w:val="FirstParagraph"/>
      </w:pPr>
      <w:bookmarkStart w:id="153" w:name="eq-isot2"/>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53"/>
    </w:p>
    <w:p>
      <w:pPr>
        <w:pStyle w:val="FirstParagraph"/>
      </w:pPr>
      <w:bookmarkStart w:id="154" w:name="eq-isot3"/>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54"/>
    </w:p>
    <w:p>
      <w:pPr>
        <w:pStyle w:val="FirstParagraph"/>
      </w:pPr>
      <w:bookmarkStart w:id="155" w:name="eq-isot4"/>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55"/>
    </w:p>
    <w:bookmarkStart w:id="158" w:name="tbl-isot"/>
    <w:p>
      <w:pPr>
        <w:pStyle w:val="Heading4"/>
      </w:pPr>
      <w:hyperlink w:anchor="tbl-isot">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56" w:name="tbl-isot"/>
          <w:p>
            <w:pPr>
              <w:pStyle w:val="TableCaption"/>
            </w:pPr>
            <w:r>
              <w:t xml:space="preserve">Table 5: The powers of ten of units based on days</w:t>
            </w:r>
          </w:p>
          <w:tbl>
            <w:tblPr>
              <w:tblStyle w:val="Table"/>
              <w:tblW w:type="auto" w:w="0"/>
              <w:tblLook w:firstRow="1" w:lastRow="0" w:firstColumn="0" w:lastColumn="0" w:noHBand="0" w:noVBand="0" w:val="0020"/>
              <w:jc w:val="start"/>
              <w:tblCaption w:val="Table 5: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56"/>
        </w:tc>
      </w:tr>
    </w:tbl>
    <w:bookmarkStart w:id="157" w:name="exm-isot"/>
    <w:p>
      <w:pPr>
        <w:pStyle w:val="BodyText"/>
      </w:pPr>
      <w:r>
        <w:rPr>
          <w:bCs/>
          <w:b/>
        </w:rPr>
        <w:t xml:space="preserve">Example 8</w:t>
      </w:r>
      <w:r>
        <w:rPr>
          <w:bCs/>
          <w:b/>
        </w:rPr>
        <w:t xml:space="preserve"> </w:t>
      </w:r>
      <w:r>
        <w:t xml:space="preserve"> </w:t>
      </w:r>
    </w:p>
    <w:bookmarkEnd w:id="157"/>
    <w:bookmarkEnd w:id="158"/>
    <w:p>
      <w:pPr>
        <w:pStyle w:val="Heading4"/>
      </w:pPr>
      <w:r>
        <w:t xml:space="preserve">JavaScript</w:t>
      </w:r>
    </w:p>
    <w:bookmarkStart w:id="159"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time2doty</w:t>
      </w:r>
      <w:r>
        <w:rPr>
          <w:rStyle w:val="NormalTok"/>
        </w:rPr>
        <w:t xml:space="preserve">())</w:t>
      </w:r>
    </w:p>
    <w:p>
      <w:pPr>
        <w:pStyle w:val="SourceCode"/>
      </w:pPr>
      <w:r>
        <w:rPr>
          <w:rStyle w:val="VerbatimChar"/>
        </w:rPr>
        <w:t xml:space="preserve">0.041666666666666664</w:t>
      </w:r>
    </w:p>
    <w:bookmarkEnd w:id="159"/>
    <w:bookmarkStart w:id="160" w:name="time2isot"/>
    <w:p>
      <w:pPr>
        <w:pStyle w:val="Heading5"/>
      </w:pPr>
      <w:r>
        <w:rPr>
          <w:rStyle w:val="VerbatimChar"/>
        </w:rPr>
        <w:t xml:space="preserve">time2isot</w:t>
      </w:r>
    </w:p>
    <w:p>
      <w:pPr>
        <w:pStyle w:val="SourceCode"/>
      </w:pPr>
      <w:r>
        <w:rPr>
          <w:rStyle w:val="KeywordTok"/>
        </w:rPr>
        <w:t xml:space="preserve">function</w:t>
      </w:r>
      <w:r>
        <w:rPr>
          <w:rStyle w:val="NormalTok"/>
        </w:rPr>
        <w:t xml:space="preserve"> </w:t>
      </w:r>
      <w:r>
        <w:rPr>
          <w:rStyle w:val="FunctionTok"/>
        </w:rPr>
        <w:t xml:space="preserve">time2isot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time2isot</w:t>
      </w:r>
      <w:r>
        <w:rPr>
          <w:rStyle w:val="NormalTok"/>
        </w:rPr>
        <w:t xml:space="preserve">())</w:t>
      </w:r>
    </w:p>
    <w:p>
      <w:pPr>
        <w:pStyle w:val="SourceCode"/>
      </w:pPr>
      <w:r>
        <w:rPr>
          <w:rStyle w:val="VerbatimChar"/>
        </w:rPr>
        <w:t xml:space="preserve">0.041666666666666664</w:t>
      </w:r>
    </w:p>
    <w:bookmarkEnd w:id="160"/>
    <w:bookmarkStart w:id="161"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doty2time</w:t>
      </w:r>
      <w:r>
        <w:rPr>
          <w:rStyle w:val="NormalTok"/>
        </w:rPr>
        <w:t xml:space="preserve">())</w:t>
      </w:r>
    </w:p>
    <w:p>
      <w:pPr>
        <w:pStyle w:val="SourceCode"/>
      </w:pPr>
      <w:r>
        <w:rPr>
          <w:rStyle w:val="VerbatimChar"/>
        </w:rPr>
        <w:t xml:space="preserve">[ 1, 0, 0 ]</w:t>
      </w:r>
    </w:p>
    <w:bookmarkEnd w:id="161"/>
    <w:p>
      <w:pPr>
        <w:pStyle w:val="Heading4"/>
      </w:pPr>
      <w:r>
        <w:t xml:space="preserve">Julia</w:t>
      </w:r>
    </w:p>
    <w:bookmarkStart w:id="162" w:name="time"/>
    <w:p>
      <w:pPr>
        <w:pStyle w:val="Heading5"/>
      </w:pPr>
      <w:r>
        <w:rPr>
          <w:rStyle w:val="VerbatimChar"/>
        </w:rPr>
        <w:t xml:space="preserve">time</w:t>
      </w:r>
    </w:p>
    <w:bookmarkEnd w:id="162"/>
    <w:bookmarkStart w:id="163"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time2doty</w:t>
      </w:r>
      <w:r>
        <w:rPr>
          <w:rStyle w:val="NormalTok"/>
        </w:rPr>
        <w:t xml:space="preserve">()</w:t>
      </w:r>
    </w:p>
    <w:p>
      <w:pPr>
        <w:pStyle w:val="SourceCode"/>
      </w:pPr>
      <w:r>
        <w:rPr>
          <w:rStyle w:val="VerbatimChar"/>
        </w:rPr>
        <w:t xml:space="preserve">0.041666666666666664</w:t>
      </w:r>
    </w:p>
    <w:bookmarkEnd w:id="163"/>
    <w:bookmarkStart w:id="164"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doty2time</w:t>
      </w:r>
      <w:r>
        <w:rPr>
          <w:rStyle w:val="NormalTok"/>
        </w:rPr>
        <w:t xml:space="preserve">()</w:t>
      </w:r>
    </w:p>
    <w:p>
      <w:pPr>
        <w:pStyle w:val="SourceCode"/>
      </w:pPr>
      <w:r>
        <w:rPr>
          <w:rStyle w:val="VerbatimChar"/>
        </w:rPr>
        <w:t xml:space="preserve">(1.0, 0.0, 0.0)</w:t>
      </w:r>
    </w:p>
    <w:bookmarkEnd w:id="164"/>
    <w:p>
      <w:pPr>
        <w:pStyle w:val="Heading4"/>
      </w:pPr>
      <w:r>
        <w:t xml:space="preserve">Python</w:t>
      </w:r>
    </w:p>
    <w:bookmarkStart w:id="165"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time2doty()</w:t>
      </w:r>
    </w:p>
    <w:p>
      <w:pPr>
        <w:pStyle w:val="SourceCode"/>
      </w:pPr>
      <w:r>
        <w:rPr>
          <w:rStyle w:val="VerbatimChar"/>
        </w:rPr>
        <w:t xml:space="preserve">0.041666666666666664</w:t>
      </w:r>
    </w:p>
    <w:bookmarkEnd w:id="165"/>
    <w:bookmarkStart w:id="166"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doty.</w:t>
      </w:r>
      <w:r>
        <w:rPr>
          <w:rStyle w:val="FunctionTok"/>
        </w:rPr>
        <w:t xml:space="preserve">__floor__</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doty2time()</w:t>
      </w:r>
    </w:p>
    <w:p>
      <w:pPr>
        <w:pStyle w:val="SourceCode"/>
      </w:pPr>
      <w:r>
        <w:rPr>
          <w:rStyle w:val="VerbatimChar"/>
        </w:rPr>
        <w:t xml:space="preserve">(1, 0, 0.0)</w:t>
      </w:r>
    </w:p>
    <w:bookmarkEnd w:id="166"/>
    <w:p>
      <w:pPr>
        <w:pStyle w:val="Heading4"/>
      </w:pPr>
      <w:r>
        <w:t xml:space="preserve">R</w:t>
      </w:r>
    </w:p>
    <w:bookmarkStart w:id="167"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time2doty</w:t>
      </w:r>
      <w:r>
        <w:rPr>
          <w:rStyle w:val="NormalTok"/>
        </w:rPr>
        <w:t xml:space="preserve">()</w:t>
      </w:r>
    </w:p>
    <w:p>
      <w:pPr>
        <w:pStyle w:val="SourceCode"/>
      </w:pPr>
      <w:r>
        <w:rPr>
          <w:rStyle w:val="VerbatimChar"/>
        </w:rPr>
        <w:t xml:space="preserve">Unable to display output for mime type(s): text/html</w:t>
      </w:r>
    </w:p>
    <w:bookmarkEnd w:id="167"/>
    <w:bookmarkStart w:id="168"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doty2time</w:t>
      </w:r>
      <w:r>
        <w:rPr>
          <w:rStyle w:val="NormalTok"/>
        </w:rPr>
        <w:t xml:space="preserve">()</w:t>
      </w:r>
    </w:p>
    <w:p>
      <w:pPr>
        <w:pStyle w:val="SourceCode"/>
      </w:pPr>
      <w:r>
        <w:rPr>
          <w:rStyle w:val="VerbatimChar"/>
        </w:rPr>
        <w:t xml:space="preserve">Unable to display output for mime type(s): text/html</w:t>
      </w:r>
    </w:p>
    <w:bookmarkEnd w:id="168"/>
    <w:bookmarkEnd w:id="169"/>
    <w:bookmarkStart w:id="182" w:name="sec-isos"/>
    <w:p>
      <w:pPr>
        <w:pStyle w:val="Heading3"/>
      </w:pPr>
      <w:r>
        <w:t xml:space="preserve">6.2.6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4">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14</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6.6.4</w:t>
        </w:r>
      </w:hyperlink>
      <w:r>
        <w:t xml:space="preserve"> </w:t>
      </w:r>
      <w:r>
        <w:t xml:space="preserve">and</w:t>
      </w:r>
      <w:r>
        <w:t xml:space="preserve"> </w:t>
      </w:r>
      <w:hyperlink w:anchor="sec-unixp">
        <w:r>
          <w:rPr>
            <w:rStyle w:val="Hyperlink"/>
          </w:rPr>
          <w:t xml:space="preserve">Section 6.6.5</w:t>
        </w:r>
      </w:hyperlink>
      <w:r>
        <w:t xml:space="preserve"> </w:t>
      </w:r>
      <w:r>
        <w:t xml:space="preserve">further discuss timestamps and provide functions for building, parsing, and converting timestamps.</w:t>
      </w:r>
    </w:p>
    <w:bookmarkStart w:id="170" w:name="exm-isos"/>
    <w:p>
      <w:pPr>
        <w:pStyle w:val="BodyText"/>
      </w:pPr>
      <w:r>
        <w:rPr>
          <w:bCs/>
          <w:b/>
        </w:rPr>
        <w:t xml:space="preserve">Example 9</w:t>
      </w:r>
      <w:r>
        <w:rPr>
          <w:bCs/>
          <w:b/>
        </w:rPr>
        <w:t xml:space="preserve"> </w:t>
      </w:r>
      <w:r>
        <w:t xml:space="preserve"> </w:t>
      </w:r>
    </w:p>
    <w:bookmarkEnd w:id="170"/>
    <w:p>
      <w:pPr>
        <w:pStyle w:val="Heading4"/>
      </w:pPr>
      <w:r>
        <w:t xml:space="preserve">JavaScript</w:t>
      </w:r>
    </w:p>
    <w:bookmarkStart w:id="171"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71"/>
    <w:bookmarkStart w:id="172" w:name="time2doty-4"/>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time2doty</w:t>
      </w:r>
      <w:r>
        <w:rPr>
          <w:rStyle w:val="NormalTok"/>
        </w:rPr>
        <w:t xml:space="preserve">())</w:t>
      </w:r>
    </w:p>
    <w:p>
      <w:pPr>
        <w:pStyle w:val="SourceCode"/>
      </w:pPr>
      <w:r>
        <w:rPr>
          <w:rStyle w:val="VerbatimChar"/>
        </w:rPr>
        <w:t xml:space="preserve">0.041666666666666664</w:t>
      </w:r>
    </w:p>
    <w:bookmarkEnd w:id="172"/>
    <w:bookmarkStart w:id="173" w:name="time2deco"/>
    <w:p>
      <w:pPr>
        <w:pStyle w:val="Heading5"/>
      </w:pPr>
      <w:r>
        <w:rPr>
          <w:rStyle w:val="VerbatimChar"/>
        </w:rPr>
        <w:t xml:space="preserve">time2deco</w:t>
      </w:r>
    </w:p>
    <w:p>
      <w:pPr>
        <w:pStyle w:val="SourceCode"/>
      </w:pPr>
      <w:r>
        <w:rPr>
          <w:rStyle w:val="KeywordTok"/>
        </w:rPr>
        <w:t xml:space="preserve">function</w:t>
      </w:r>
      <w:r>
        <w:rPr>
          <w:rStyle w:val="NormalTok"/>
        </w:rPr>
        <w:t xml:space="preserve"> </w:t>
      </w:r>
      <w:r>
        <w:rPr>
          <w:rStyle w:val="FunctionTok"/>
        </w:rPr>
        <w:t xml:space="preserve">time2deco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173"/>
    <w:bookmarkStart w:id="174" w:name="doty2time-4"/>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doty2time</w:t>
      </w:r>
      <w:r>
        <w:rPr>
          <w:rStyle w:val="NormalTok"/>
        </w:rPr>
        <w:t xml:space="preserve">())</w:t>
      </w:r>
    </w:p>
    <w:p>
      <w:pPr>
        <w:pStyle w:val="SourceCode"/>
      </w:pPr>
      <w:r>
        <w:rPr>
          <w:rStyle w:val="VerbatimChar"/>
        </w:rPr>
        <w:t xml:space="preserve">[ 1, 0, 0 ]</w:t>
      </w:r>
    </w:p>
    <w:bookmarkEnd w:id="174"/>
    <w:p>
      <w:pPr>
        <w:pStyle w:val="Heading4"/>
      </w:pPr>
      <w:r>
        <w:t xml:space="preserve">Julia</w:t>
      </w:r>
    </w:p>
    <w:bookmarkStart w:id="175" w:name="time-1"/>
    <w:p>
      <w:pPr>
        <w:pStyle w:val="Heading5"/>
      </w:pPr>
      <w:r>
        <w:rPr>
          <w:rStyle w:val="VerbatimChar"/>
        </w:rPr>
        <w:t xml:space="preserve">time</w:t>
      </w:r>
    </w:p>
    <w:bookmarkEnd w:id="175"/>
    <w:bookmarkStart w:id="176" w:name="time2doty-5"/>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time2doty</w:t>
      </w:r>
      <w:r>
        <w:rPr>
          <w:rStyle w:val="NormalTok"/>
        </w:rPr>
        <w:t xml:space="preserve">()</w:t>
      </w:r>
    </w:p>
    <w:p>
      <w:pPr>
        <w:pStyle w:val="SourceCode"/>
      </w:pPr>
      <w:r>
        <w:rPr>
          <w:rStyle w:val="VerbatimChar"/>
        </w:rPr>
        <w:t xml:space="preserve">0.041666666666666664</w:t>
      </w:r>
    </w:p>
    <w:bookmarkEnd w:id="176"/>
    <w:bookmarkStart w:id="177" w:name="doty2time-5"/>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doty2time</w:t>
      </w:r>
      <w:r>
        <w:rPr>
          <w:rStyle w:val="NormalTok"/>
        </w:rPr>
        <w:t xml:space="preserve">()</w:t>
      </w:r>
    </w:p>
    <w:p>
      <w:pPr>
        <w:pStyle w:val="SourceCode"/>
      </w:pPr>
      <w:r>
        <w:rPr>
          <w:rStyle w:val="VerbatimChar"/>
        </w:rPr>
        <w:t xml:space="preserve">(1.0, 0.0, 0.0)</w:t>
      </w:r>
    </w:p>
    <w:bookmarkEnd w:id="177"/>
    <w:p>
      <w:pPr>
        <w:pStyle w:val="Heading4"/>
      </w:pPr>
      <w:r>
        <w:t xml:space="preserve">Python</w:t>
      </w:r>
    </w:p>
    <w:bookmarkStart w:id="178" w:name="time2doty-6"/>
    <w:p>
      <w:pPr>
        <w:pStyle w:val="Heading5"/>
      </w:pPr>
      <w:r>
        <w:rPr>
          <w:rStyle w:val="VerbatimChar"/>
        </w:rPr>
        <w:t xml:space="preserve">time2doty</w:t>
      </w:r>
    </w:p>
    <w:p>
      <w:pPr>
        <w:pStyle w:val="SourceCode"/>
      </w:pPr>
      <w:r>
        <w:rPr>
          <w:rStyle w:val="KeywordTok"/>
        </w:rPr>
        <w:t xml:space="preserve">def</w:t>
      </w:r>
      <w:r>
        <w:rPr>
          <w:rStyle w:val="NormalTok"/>
        </w:rPr>
        <w:t xml:space="preserve"> time2doty(hour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time2doty()</w:t>
      </w:r>
    </w:p>
    <w:p>
      <w:pPr>
        <w:pStyle w:val="SourceCode"/>
      </w:pPr>
      <w:r>
        <w:rPr>
          <w:rStyle w:val="VerbatimChar"/>
        </w:rPr>
        <w:t xml:space="preserve">0.041666666666666664</w:t>
      </w:r>
    </w:p>
    <w:bookmarkEnd w:id="178"/>
    <w:bookmarkStart w:id="179" w:name="doty2time-6"/>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doty.</w:t>
      </w:r>
      <w:r>
        <w:rPr>
          <w:rStyle w:val="FunctionTok"/>
        </w:rPr>
        <w:t xml:space="preserve">__floor__</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doty2time()</w:t>
      </w:r>
    </w:p>
    <w:p>
      <w:pPr>
        <w:pStyle w:val="SourceCode"/>
      </w:pPr>
      <w:r>
        <w:rPr>
          <w:rStyle w:val="VerbatimChar"/>
        </w:rPr>
        <w:t xml:space="preserve">(1, 0, 0.0)</w:t>
      </w:r>
    </w:p>
    <w:bookmarkEnd w:id="179"/>
    <w:p>
      <w:pPr>
        <w:pStyle w:val="Heading4"/>
      </w:pPr>
      <w:r>
        <w:t xml:space="preserve">R</w:t>
      </w:r>
    </w:p>
    <w:bookmarkStart w:id="180" w:name="time2doty-7"/>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time2doty</w:t>
      </w:r>
      <w:r>
        <w:rPr>
          <w:rStyle w:val="NormalTok"/>
        </w:rPr>
        <w:t xml:space="preserve">()</w:t>
      </w:r>
    </w:p>
    <w:p>
      <w:pPr>
        <w:pStyle w:val="SourceCode"/>
      </w:pPr>
      <w:r>
        <w:rPr>
          <w:rStyle w:val="VerbatimChar"/>
        </w:rPr>
        <w:t xml:space="preserve">Unable to display output for mime type(s): text/html</w:t>
      </w:r>
    </w:p>
    <w:bookmarkEnd w:id="180"/>
    <w:bookmarkStart w:id="181" w:name="doty2time-7"/>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doty2time</w:t>
      </w:r>
      <w:r>
        <w:rPr>
          <w:rStyle w:val="NormalTok"/>
        </w:rPr>
        <w:t xml:space="preserve">()</w:t>
      </w:r>
    </w:p>
    <w:p>
      <w:pPr>
        <w:pStyle w:val="SourceCode"/>
      </w:pPr>
      <w:r>
        <w:rPr>
          <w:rStyle w:val="VerbatimChar"/>
        </w:rPr>
        <w:t xml:space="preserve">Unable to display output for mime type(s): text/html</w:t>
      </w:r>
    </w:p>
    <w:bookmarkEnd w:id="181"/>
    <w:bookmarkEnd w:id="182"/>
    <w:bookmarkStart w:id="185" w:name="sec-isoi"/>
    <w:p>
      <w:pPr>
        <w:pStyle w:val="Heading3"/>
      </w:pPr>
      <w:r>
        <w:t xml:space="preserve">6.2.7 Time intervals</w:t>
      </w:r>
    </w:p>
    <w:p>
      <w:pPr>
        <w:pStyle w:val="FirstParagraph"/>
      </w:pPr>
      <w:r>
        <w:t xml:space="preserve">ISO 8601 specifies three methods of unequivocally representing</w:t>
      </w:r>
      <w:r>
        <w:t xml:space="preserve"> </w:t>
      </w:r>
      <w:hyperlink r:id="rId183">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184" w:name="exm-isoi"/>
    <w:p>
      <w:pPr>
        <w:pStyle w:val="BodyText"/>
      </w:pPr>
      <w:r>
        <w:rPr>
          <w:bCs/>
          <w:b/>
        </w:rPr>
        <w:t xml:space="preserve">Example 10</w:t>
      </w:r>
      <w:r>
        <w:rPr>
          <w:bCs/>
          <w:b/>
        </w:rPr>
        <w:t xml:space="preserve"> </w:t>
      </w:r>
      <w:r>
        <w:t xml:space="preserve"> </w:t>
      </w:r>
    </w:p>
    <w:bookmarkEnd w:id="184"/>
    <w:bookmarkEnd w:id="185"/>
    <w:bookmarkStart w:id="191" w:name="sec-isor"/>
    <w:p>
      <w:pPr>
        <w:pStyle w:val="Heading3"/>
      </w:pPr>
      <w:r>
        <w:t xml:space="preserve">6.2.8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86">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87">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188">
        <w:r>
          <w:rPr>
            <w:rStyle w:val="Hyperlink"/>
          </w:rPr>
          <w:t xml:space="preserve">Slicing of dates and times</w:t>
        </w:r>
      </w:hyperlink>
      <w:r>
        <w:t xml:space="preserve"> </w:t>
      </w:r>
      <w:r>
        <w:t xml:space="preserve">is fully implemented in the</w:t>
      </w:r>
      <w:r>
        <w:t xml:space="preserve"> </w:t>
      </w:r>
      <w:hyperlink r:id="rId189">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190" w:name="exm-isor"/>
    <w:p>
      <w:pPr>
        <w:pStyle w:val="BodyText"/>
      </w:pPr>
      <w:r>
        <w:rPr>
          <w:bCs/>
          <w:b/>
        </w:rPr>
        <w:t xml:space="preserve">Example 11</w:t>
      </w:r>
      <w:r>
        <w:rPr>
          <w:bCs/>
          <w:b/>
        </w:rPr>
        <w:t xml:space="preserve"> </w:t>
      </w:r>
      <w:r>
        <w:t xml:space="preserve"> </w:t>
      </w:r>
    </w:p>
    <w:bookmarkEnd w:id="19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191"/>
    <w:bookmarkEnd w:id="192"/>
    <w:bookmarkStart w:id="200" w:name="sec-frc"/>
    <w:p>
      <w:pPr>
        <w:pStyle w:val="Heading2"/>
      </w:pPr>
      <w:r>
        <w:t xml:space="preserve">6.3 French Republican calendar</w:t>
      </w:r>
    </w:p>
    <w:bookmarkStart w:id="196" w:name="sec-frcd"/>
    <w:p>
      <w:pPr>
        <w:pStyle w:val="Heading3"/>
      </w:pPr>
      <w:r>
        <w:t xml:space="preserve">6.3.1 French Republican calendar</w:t>
      </w:r>
      <w:r>
        <w:t xml:space="preserve"> </w:t>
      </w:r>
      <w:r>
        <w:rPr>
          <w:iCs/>
          <w:i/>
        </w:rPr>
        <w:t xml:space="preserve">décades</w:t>
      </w:r>
    </w:p>
    <w:p>
      <w:pPr>
        <w:pStyle w:val="FirstParagraph"/>
      </w:pPr>
      <w:r>
        <w:t xml:space="preserve">The</w:t>
      </w:r>
      <w:r>
        <w:t xml:space="preserve"> </w:t>
      </w:r>
      <w:hyperlink r:id="rId193">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49">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6</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95" w:name="tbl-dotd"/>
    <w:p>
      <w:pPr>
        <w:pStyle w:val="Heading4"/>
      </w:pPr>
      <w:hyperlink w:anchor="tbl-dotd">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4" w:name="tbl-dotd"/>
          <w:p>
            <w:pPr>
              <w:pStyle w:val="TableCaption"/>
            </w:pPr>
            <w:r>
              <w:t xml:space="preserve">Table 6: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6: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94"/>
        </w:tc>
      </w:tr>
    </w:tbl>
    <w:bookmarkEnd w:id="195"/>
    <w:bookmarkEnd w:id="196"/>
    <w:bookmarkStart w:id="199" w:name="sec-frct"/>
    <w:p>
      <w:pPr>
        <w:pStyle w:val="Heading3"/>
      </w:pPr>
      <w:r>
        <w:t xml:space="preserve">6.3.2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7</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98" w:name="tbl-dime"/>
    <w:p>
      <w:pPr>
        <w:pStyle w:val="Heading4"/>
      </w:pPr>
      <w:hyperlink w:anchor="tbl-dime">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7" w:name="tbl-dime"/>
          <w:p>
            <w:pPr>
              <w:pStyle w:val="TableCaption"/>
            </w:pPr>
            <w:r>
              <w:t xml:space="preserve">Table 7: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7: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97"/>
        </w:tc>
      </w:tr>
    </w:tbl>
    <w:bookmarkEnd w:id="198"/>
    <w:bookmarkEnd w:id="199"/>
    <w:bookmarkEnd w:id="200"/>
    <w:bookmarkStart w:id="203" w:name="sec-sit"/>
    <w:p>
      <w:pPr>
        <w:pStyle w:val="Heading2"/>
      </w:pPr>
      <w:r>
        <w:t xml:space="preserve">6.4 Swatch Internet Time</w:t>
      </w:r>
    </w:p>
    <w:p>
      <w:pPr>
        <w:pStyle w:val="FirstParagraph"/>
      </w:pPr>
      <w:hyperlink r:id="rId201">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202">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5</w:t>
        </w:r>
      </w:hyperlink>
      <w:r>
        <w:t xml:space="preserve">.</w:t>
      </w:r>
    </w:p>
    <w:bookmarkEnd w:id="203"/>
    <w:bookmarkStart w:id="207" w:name="sec-jd"/>
    <w:p>
      <w:pPr>
        <w:pStyle w:val="Heading2"/>
      </w:pPr>
      <w:r>
        <w:t xml:space="preserve">6.5 Julian dates</w:t>
      </w:r>
    </w:p>
    <w:p>
      <w:pPr>
        <w:pStyle w:val="FirstParagraph"/>
      </w:pPr>
      <w:r>
        <w:t xml:space="preserve">Julian dates are the number of</w:t>
      </w:r>
      <w:r>
        <w:t xml:space="preserve"> </w:t>
      </w:r>
      <w:hyperlink r:id="rId44">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204">
        <w:r>
          <w:rPr>
            <w:rStyle w:val="Hyperlink"/>
          </w:rPr>
          <w:t xml:space="preserve">Julian day variants</w:t>
        </w:r>
      </w:hyperlink>
      <w:r>
        <w:t xml:space="preserve">, start at midnight. Like Swatch Internet Time, Julian dates only use a single time zone (</w:t>
      </w:r>
      <w:hyperlink r:id="rId205">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206"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206"/>
    </w:p>
    <w:bookmarkEnd w:id="207"/>
    <w:bookmarkStart w:id="234" w:name="sec-unix"/>
    <w:p>
      <w:pPr>
        <w:pStyle w:val="Heading2"/>
      </w:pPr>
      <w:r>
        <w:t xml:space="preserve">6.6 UNIX time</w:t>
      </w:r>
    </w:p>
    <w:bookmarkStart w:id="209" w:name="sec-unixj"/>
    <w:p>
      <w:pPr>
        <w:pStyle w:val="Heading3"/>
      </w:pPr>
      <w:r>
        <w:t xml:space="preserve">6.6.1 Julian time conversion to UNIX time</w:t>
      </w:r>
    </w:p>
    <w:p>
      <w:pPr>
        <w:pStyle w:val="FirstParagraph"/>
      </w:pPr>
      <w:r>
        <w:t xml:space="preserve">While it is possible to convert Julian dates into</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05">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208"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208"/>
    </w:p>
    <w:bookmarkEnd w:id="209"/>
    <w:bookmarkStart w:id="214" w:name="sec-unixd"/>
    <w:p>
      <w:pPr>
        <w:pStyle w:val="Heading3"/>
      </w:pPr>
      <w:r>
        <w:t xml:space="preserve">6.6.2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71">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72">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210"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210"/>
    </w:p>
    <w:p>
      <w:pPr>
        <w:pStyle w:val="FirstParagraph"/>
      </w:pPr>
      <w:bookmarkStart w:id="211"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211"/>
    </w:p>
    <w:p>
      <w:pPr>
        <w:pStyle w:val="FirstParagraph"/>
      </w:pPr>
      <w:bookmarkStart w:id="212"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212"/>
    </w:p>
    <w:p>
      <w:pPr>
        <w:pStyle w:val="FirstParagraph"/>
      </w:pPr>
      <w:bookmarkStart w:id="213"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213"/>
    </w:p>
    <w:bookmarkEnd w:id="214"/>
    <w:bookmarkStart w:id="223" w:name="sec-unixt"/>
    <w:p>
      <w:pPr>
        <w:pStyle w:val="Heading3"/>
      </w:pPr>
      <w:r>
        <w:t xml:space="preserve">6.6.3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14</w:t>
        </w:r>
      </w:hyperlink>
      <w:r>
        <w:t xml:space="preserve">. The code in</w:t>
      </w:r>
      <w:r>
        <w:t xml:space="preserve"> </w:t>
      </w:r>
      <w:hyperlink w:anchor="exm-unixt">
        <w:r>
          <w:rPr>
            <w:rStyle w:val="Hyperlink"/>
          </w:rPr>
          <w:t xml:space="preserve">Example 12</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12</w:t>
        </w:r>
      </w:hyperlink>
      <w:r>
        <w:t xml:space="preserve"> </w:t>
      </w:r>
      <w:r>
        <w:t xml:space="preserve">in action, visit this</w:t>
      </w:r>
      <w:r>
        <w:t xml:space="preserve"> </w:t>
      </w:r>
      <w:hyperlink r:id="rId215">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16"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216"/>
    </w:p>
    <w:bookmarkStart w:id="217" w:name="exm-unixt"/>
    <w:p>
      <w:pPr>
        <w:pStyle w:val="FirstParagraph"/>
      </w:pPr>
      <w:r>
        <w:rPr>
          <w:bCs/>
          <w:b/>
        </w:rPr>
        <w:t xml:space="preserve">Example 12</w:t>
      </w:r>
      <w:r>
        <w:rPr>
          <w:bCs/>
          <w:b/>
        </w:rPr>
        <w:t xml:space="preserve"> </w:t>
      </w:r>
      <w:r>
        <w:t xml:space="preserve"> </w:t>
      </w:r>
    </w:p>
    <w:bookmarkEnd w:id="217"/>
    <w:p>
      <w:pPr>
        <w:pStyle w:val="Heading4"/>
      </w:pPr>
      <w:r>
        <w:t xml:space="preserve">JavaScript</w:t>
      </w:r>
    </w:p>
    <w:bookmarkStart w:id="218"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2023+218.85778+0</w:t>
      </w:r>
    </w:p>
    <w:bookmarkEnd w:id="218"/>
    <w:p>
      <w:pPr>
        <w:pStyle w:val="Heading4"/>
      </w:pPr>
      <w:r>
        <w:t xml:space="preserve">Julia</w:t>
      </w:r>
    </w:p>
    <w:bookmarkStart w:id="219" w:name="unix"/>
    <w:p>
      <w:pPr>
        <w:pStyle w:val="Heading5"/>
      </w:pPr>
      <w:r>
        <w:rPr>
          <w:rStyle w:val="VerbatimChar"/>
        </w:rPr>
        <w:t xml:space="preserve">unix</w:t>
      </w:r>
    </w:p>
    <w:bookmarkEnd w:id="219"/>
    <w:bookmarkStart w:id="220"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"2023+218.85792+0"</w:t>
      </w:r>
    </w:p>
    <w:bookmarkEnd w:id="220"/>
    <w:p>
      <w:pPr>
        <w:pStyle w:val="Heading4"/>
      </w:pPr>
      <w:r>
        <w:t xml:space="preserve">Python</w:t>
      </w:r>
    </w:p>
    <w:bookmarkStart w:id="221"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'2023+218.85802+0'</w:t>
      </w:r>
    </w:p>
    <w:bookmarkEnd w:id="221"/>
    <w:p>
      <w:pPr>
        <w:pStyle w:val="Heading4"/>
      </w:pPr>
      <w:r>
        <w:t xml:space="preserve">R</w:t>
      </w:r>
    </w:p>
    <w:bookmarkStart w:id="222"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22"/>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23"/>
    <w:bookmarkStart w:id="230" w:name="sec-unixb"/>
    <w:p>
      <w:pPr>
        <w:pStyle w:val="Heading3"/>
      </w:pPr>
      <w:r>
        <w:t xml:space="preserve">6.6.4 Building timestamps</w:t>
      </w:r>
    </w:p>
    <w:p>
      <w:pPr>
        <w:pStyle w:val="FirstParagraph"/>
      </w:pPr>
      <w:r>
        <w:t xml:space="preserve">The code in</w:t>
      </w:r>
      <w:r>
        <w:t xml:space="preserve"> </w:t>
      </w:r>
      <w:hyperlink w:anchor="exm-unixt">
        <w:r>
          <w:rPr>
            <w:rStyle w:val="Hyperlink"/>
          </w:rPr>
          <w:t xml:space="preserve">Example 12</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13</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24" w:name="exm-unixb"/>
    <w:p>
      <w:pPr>
        <w:pStyle w:val="BodyText"/>
      </w:pPr>
      <w:r>
        <w:rPr>
          <w:bCs/>
          <w:b/>
        </w:rPr>
        <w:t xml:space="preserve">Example 13</w:t>
      </w:r>
      <w:r>
        <w:rPr>
          <w:bCs/>
          <w:b/>
        </w:rPr>
        <w:t xml:space="preserve"> </w:t>
      </w:r>
      <w:r>
        <w:t xml:space="preserve"> </w:t>
      </w:r>
    </w:p>
    <w:bookmarkEnd w:id="224"/>
    <w:p>
      <w:pPr>
        <w:pStyle w:val="Heading4"/>
      </w:pPr>
      <w:r>
        <w:t xml:space="preserve">JavaScript</w:t>
      </w:r>
    </w:p>
    <w:bookmarkStart w:id="225"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25"/>
    <w:p>
      <w:pPr>
        <w:pStyle w:val="Heading4"/>
      </w:pPr>
      <w:r>
        <w:t xml:space="preserve">Julia</w:t>
      </w:r>
    </w:p>
    <w:bookmarkStart w:id="226" w:name="unix-1"/>
    <w:p>
      <w:pPr>
        <w:pStyle w:val="Heading5"/>
      </w:pPr>
      <w:r>
        <w:rPr>
          <w:rStyle w:val="VerbatimChar"/>
        </w:rPr>
        <w:t xml:space="preserve">unix</w:t>
      </w:r>
    </w:p>
    <w:bookmarkEnd w:id="226"/>
    <w:bookmarkStart w:id="227"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"2023+218.85792+0"</w:t>
      </w:r>
    </w:p>
    <w:bookmarkEnd w:id="227"/>
    <w:p>
      <w:pPr>
        <w:pStyle w:val="Heading4"/>
      </w:pPr>
      <w:r>
        <w:t xml:space="preserve">Python</w:t>
      </w:r>
    </w:p>
    <w:bookmarkStart w:id="228"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'2023+218.85802+0'</w:t>
      </w:r>
    </w:p>
    <w:bookmarkEnd w:id="228"/>
    <w:p>
      <w:pPr>
        <w:pStyle w:val="Heading4"/>
      </w:pPr>
      <w:r>
        <w:t xml:space="preserve">R</w:t>
      </w:r>
    </w:p>
    <w:bookmarkStart w:id="229"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29"/>
    <w:bookmarkEnd w:id="230"/>
    <w:bookmarkStart w:id="233" w:name="sec-unixp"/>
    <w:p>
      <w:pPr>
        <w:pStyle w:val="Heading3"/>
      </w:pPr>
      <w:r>
        <w:t xml:space="preserve">6.6.5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31" w:name="exm-unixp"/>
    <w:p>
      <w:pPr>
        <w:pStyle w:val="BodyText"/>
      </w:pPr>
      <w:r>
        <w:rPr>
          <w:bCs/>
          <w:b/>
        </w:rPr>
        <w:t xml:space="preserve">Example 14</w:t>
      </w:r>
      <w:r>
        <w:rPr>
          <w:bCs/>
          <w:b/>
        </w:rPr>
        <w:t xml:space="preserve"> </w:t>
      </w:r>
      <w:r>
        <w:t xml:space="preserve"> </w:t>
      </w:r>
    </w:p>
    <w:bookmarkEnd w:id="231"/>
    <w:p>
      <w:pPr>
        <w:pStyle w:val="Heading4"/>
      </w:pPr>
      <w:r>
        <w:t xml:space="preserve">JavaScript</w:t>
      </w:r>
    </w:p>
    <w:bookmarkStart w:id="232"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32"/>
    <w:bookmarkEnd w:id="233"/>
    <w:bookmarkEnd w:id="234"/>
    <w:bookmarkEnd w:id="235"/>
    <w:bookmarkStart w:id="280" w:name="sec-format"/>
    <w:p>
      <w:pPr>
        <w:pStyle w:val="Heading1"/>
      </w:pPr>
      <w:r>
        <w:t xml:space="preserve">7.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8</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37" w:name="tbl-format"/>
    <w:p>
      <w:pPr>
        <w:pStyle w:val="Heading4"/>
      </w:pPr>
      <w:hyperlink w:anchor="tbl-forma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6" w:name="tbl-format"/>
          <w:p>
            <w:pPr>
              <w:pStyle w:val="TableCaption"/>
            </w:pPr>
            <w:r>
              <w:t xml:space="preserve">Table 8: The three dot formats</w:t>
            </w:r>
          </w:p>
          <w:tbl>
            <w:tblPr>
              <w:tblStyle w:val="Table"/>
              <w:tblW w:type="auto" w:w="0"/>
              <w:tblLook w:firstRow="1" w:lastRow="0" w:firstColumn="0" w:lastColumn="0" w:noHBand="0" w:noVBand="0" w:val="0020"/>
              <w:jc w:val="start"/>
              <w:tblCaption w:val="Table 8: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36"/>
        </w:tc>
      </w:tr>
    </w:tbl>
    <w:p>
      <w:pPr>
        <w:pStyle w:val="BodyText"/>
      </w:pPr>
      <w:r>
        <w:t xml:space="preserve">In</w:t>
      </w:r>
      <w:r>
        <w:t xml:space="preserve"> </w:t>
      </w:r>
      <w:hyperlink w:anchor="tbl-format">
        <w:r>
          <w:rPr>
            <w:rStyle w:val="Hyperlink"/>
          </w:rPr>
          <w:t xml:space="preserve">Table 8</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37"/>
    <w:bookmarkStart w:id="243" w:name="sec-dotm"/>
    <w:p>
      <w:pPr>
        <w:pStyle w:val="Heading2"/>
      </w:pPr>
      <w:r>
        <w:t xml:space="preserve">7.1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38">
        <w:r>
          <w:rPr>
            <w:rStyle w:val="Hyperlink"/>
          </w:rPr>
          <w:t xml:space="preserve">hexadecimal</w:t>
        </w:r>
      </w:hyperlink>
      <w:r>
        <w:t xml:space="preserve"> </w:t>
      </w:r>
      <w:r>
        <w:t xml:space="preserve">form (Base16 encoded). This means that the first 10 months are represented by the numbers 0 through 9 (</w:t>
      </w:r>
      <w:hyperlink r:id="rId49">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27">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39">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40">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41"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241"/>
    </w:p>
    <w:p>
      <w:pPr>
        <w:pStyle w:val="FirstParagraph"/>
      </w:pPr>
      <w:bookmarkStart w:id="242"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242"/>
    </w:p>
    <w:bookmarkEnd w:id="243"/>
    <w:bookmarkStart w:id="246" w:name="sec-dotw"/>
    <w:p>
      <w:pPr>
        <w:pStyle w:val="Heading2"/>
      </w:pPr>
      <w:r>
        <w:t xml:space="preserve">7.2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9</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45" w:name="tbl-dotw"/>
    <w:p>
      <w:pPr>
        <w:pStyle w:val="Heading4"/>
      </w:pPr>
      <w:hyperlink w:anchor="tbl-dotw">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4" w:name="tbl-dotw"/>
          <w:p>
            <w:pPr>
              <w:pStyle w:val="TableCaption"/>
            </w:pPr>
            <w:r>
              <w:t xml:space="preserve">Table 9: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9: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44"/>
        </w:tc>
      </w:tr>
    </w:tbl>
    <w:bookmarkEnd w:id="245"/>
    <w:bookmarkEnd w:id="246"/>
    <w:bookmarkStart w:id="249" w:name="sec-dotex"/>
    <w:p>
      <w:pPr>
        <w:pStyle w:val="Heading2"/>
      </w:pPr>
      <w:r>
        <w:t xml:space="preserve">7.3 Dot format examples</w:t>
      </w:r>
    </w:p>
    <w:p>
      <w:pPr>
        <w:pStyle w:val="FirstParagraph"/>
      </w:pPr>
      <w:hyperlink w:anchor="tbl-dotex">
        <w:r>
          <w:rPr>
            <w:rStyle w:val="Hyperlink"/>
          </w:rPr>
          <w:t xml:space="preserve">Table 10</w:t>
        </w:r>
      </w:hyperlink>
      <w:r>
        <w:t xml:space="preserve"> </w:t>
      </w:r>
      <w:r>
        <w:t xml:space="preserve">builds on the example from</w:t>
      </w:r>
      <w:r>
        <w:t xml:space="preserve"> </w:t>
      </w:r>
      <w:hyperlink w:anchor="sec-zone">
        <w:r>
          <w:rPr>
            <w:rStyle w:val="Hyperlink"/>
          </w:rPr>
          <w:t xml:space="preserve">Section 5</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48" w:name="tbl-dotex"/>
    <w:p>
      <w:pPr>
        <w:pStyle w:val="Heading4"/>
      </w:pPr>
      <w:hyperlink w:anchor="tbl-dotex">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7" w:name="tbl-dotex"/>
          <w:p>
            <w:pPr>
              <w:pStyle w:val="TableCaption"/>
            </w:pPr>
            <w:r>
              <w:t xml:space="preserve">Table 10: The time in Mexico City, London, and Tokyo in all three dot formats</w:t>
            </w:r>
          </w:p>
          <w:tbl>
            <w:tblPr>
              <w:tblStyle w:val="Table"/>
              <w:tblW w:type="pct" w:w="5000"/>
              <w:tblLook w:firstRow="1" w:lastRow="0" w:firstColumn="0" w:lastColumn="0" w:noHBand="0" w:noVBand="0" w:val="0020"/>
              <w:jc w:val="start"/>
              <w:tblCaption w:val="Table 10: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47"/>
        </w:tc>
      </w:tr>
    </w:tbl>
    <w:p>
      <w:pPr>
        <w:pStyle w:val="BodyText"/>
      </w:pPr>
      <w:r>
        <w:t xml:space="preserve">In</w:t>
      </w:r>
      <w:r>
        <w:t xml:space="preserve"> </w:t>
      </w:r>
      <w:hyperlink w:anchor="tbl-dotex">
        <w:r>
          <w:rPr>
            <w:rStyle w:val="Hyperlink"/>
          </w:rPr>
          <w:t xml:space="preserve">Table 10</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10</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248"/>
    <w:bookmarkEnd w:id="249"/>
    <w:bookmarkStart w:id="259" w:name="sec-dek"/>
    <w:p>
      <w:pPr>
        <w:pStyle w:val="Heading2"/>
      </w:pPr>
      <w:r>
        <w:t xml:space="preserve">7.4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50" w:name="sec-dotd"/>
    <w:p>
      <w:pPr>
        <w:pStyle w:val="Heading3"/>
      </w:pPr>
      <w:r>
        <w:t xml:space="preserve">7.4.1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50"/>
    <w:bookmarkStart w:id="251" w:name="sec-work"/>
    <w:p>
      <w:pPr>
        <w:pStyle w:val="Heading3"/>
      </w:pPr>
      <w:r>
        <w:t xml:space="preserve">7.4.2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51"/>
    <w:bookmarkStart w:id="258" w:name="sec-sched"/>
    <w:p>
      <w:pPr>
        <w:pStyle w:val="Heading3"/>
      </w:pPr>
      <w:r>
        <w:t xml:space="preserve">7.4.3 Schedules</w:t>
      </w:r>
    </w:p>
    <w:bookmarkStart w:id="252"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11</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52"/>
    <w:bookmarkStart w:id="254" w:name="tbl-pently"/>
    <w:p>
      <w:pPr>
        <w:pStyle w:val="Heading4"/>
      </w:pPr>
      <w:hyperlink w:anchor="tbl-pently">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3" w:name="tbl-pently"/>
          <w:p>
            <w:pPr>
              <w:pStyle w:val="TableCaption"/>
            </w:pPr>
            <w:r>
              <w:t xml:space="preserve">Table 11: The characteristics of the pently schedules</w:t>
            </w:r>
          </w:p>
          <w:tbl>
            <w:tblPr>
              <w:tblStyle w:val="Table"/>
              <w:tblW w:type="auto" w:w="0"/>
              <w:tblLook w:firstRow="1" w:lastRow="0" w:firstColumn="0" w:lastColumn="0" w:noHBand="0" w:noVBand="0" w:val="0020"/>
              <w:jc w:val="start"/>
              <w:tblCaption w:val="Table 11: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53"/>
        </w:tc>
      </w:tr>
    </w:tbl>
    <w:bookmarkEnd w:id="254"/>
    <w:bookmarkStart w:id="255"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12</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55"/>
    <w:bookmarkStart w:id="257" w:name="tbl-daily"/>
    <w:p>
      <w:pPr>
        <w:pStyle w:val="Heading4"/>
      </w:pPr>
      <w:hyperlink w:anchor="tbl-dai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6" w:name="tbl-daily"/>
          <w:p>
            <w:pPr>
              <w:pStyle w:val="TableCaption"/>
            </w:pPr>
            <w:r>
              <w:t xml:space="preserve">Table 12: The workday schedule</w:t>
            </w:r>
          </w:p>
          <w:tbl>
            <w:tblPr>
              <w:tblStyle w:val="Table"/>
              <w:tblW w:type="auto" w:w="0"/>
              <w:tblLook w:firstRow="1" w:lastRow="0" w:firstColumn="0" w:lastColumn="0" w:noHBand="0" w:noVBand="0" w:val="0020"/>
              <w:jc w:val="start"/>
              <w:tblCaption w:val="Table 12: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56"/>
        </w:tc>
      </w:tr>
    </w:tbl>
    <w:bookmarkEnd w:id="257"/>
    <w:bookmarkEnd w:id="258"/>
    <w:bookmarkEnd w:id="259"/>
    <w:bookmarkStart w:id="279" w:name="sec-subyear"/>
    <w:p>
      <w:pPr>
        <w:pStyle w:val="Heading2"/>
      </w:pPr>
      <w:r>
        <w:t xml:space="preserve">7.5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65" w:name="sec-season"/>
    <w:p>
      <w:pPr>
        <w:pStyle w:val="Heading3"/>
      </w:pPr>
      <w:r>
        <w:t xml:space="preserve">7.5.1 Seasons</w:t>
      </w:r>
    </w:p>
    <w:p>
      <w:pPr>
        <w:pStyle w:val="FirstParagraph"/>
      </w:pPr>
      <w:r>
        <w:t xml:space="preserve">We can use</w:t>
      </w:r>
      <w:r>
        <w:t xml:space="preserve"> </w:t>
      </w:r>
      <w:hyperlink w:anchor="tbl-greg2doty">
        <w:r>
          <w:rPr>
            <w:rStyle w:val="Hyperlink"/>
          </w:rPr>
          <w:t xml:space="preserve">Table 2</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60">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13</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62" w:name="tbl-soleq"/>
    <w:p>
      <w:pPr>
        <w:pStyle w:val="Heading4"/>
      </w:pPr>
      <w:hyperlink w:anchor="tbl-soleq">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1" w:name="tbl-soleq"/>
          <w:p>
            <w:pPr>
              <w:pStyle w:val="TableCaption"/>
            </w:pPr>
            <w:r>
              <w:t xml:space="preserve">Table 13: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3: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61"/>
        </w:tc>
      </w:tr>
    </w:tbl>
    <w:p>
      <w:pPr>
        <w:pStyle w:val="BodyText"/>
      </w:pPr>
      <w:r>
        <w:t xml:space="preserve">Using the information in</w:t>
      </w:r>
      <w:r>
        <w:t xml:space="preserve"> </w:t>
      </w:r>
      <w:hyperlink w:anchor="tbl-soleq">
        <w:r>
          <w:rPr>
            <w:rStyle w:val="Hyperlink"/>
          </w:rPr>
          <w:t xml:space="preserve">Table 13</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14</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14</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14</w:t>
        </w:r>
      </w:hyperlink>
      <w:r>
        <w:t xml:space="preserve"> </w:t>
      </w:r>
      <w:r>
        <w:t xml:space="preserve">has 18.2 pents (91 days).</w:t>
      </w:r>
    </w:p>
    <w:bookmarkEnd w:id="262"/>
    <w:bookmarkStart w:id="264" w:name="tbl-season"/>
    <w:p>
      <w:pPr>
        <w:pStyle w:val="Heading4"/>
      </w:pPr>
      <w:hyperlink w:anchor="tbl-season">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3" w:name="tbl-season"/>
          <w:p>
            <w:pPr>
              <w:pStyle w:val="TableCaption"/>
            </w:pPr>
            <w:r>
              <w:t xml:space="preserve">Table 14: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4: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63"/>
        </w:tc>
      </w:tr>
    </w:tbl>
    <w:bookmarkEnd w:id="264"/>
    <w:bookmarkEnd w:id="265"/>
    <w:bookmarkStart w:id="278" w:name="sec-qdew"/>
    <w:p>
      <w:pPr>
        <w:pStyle w:val="Heading3"/>
      </w:pPr>
      <w:r>
        <w:t xml:space="preserve">7.5.2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66"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15</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66"/>
    <w:bookmarkStart w:id="268" w:name="tbl-q"/>
    <w:p>
      <w:pPr>
        <w:pStyle w:val="Heading4"/>
      </w:pPr>
      <w:hyperlink w:anchor="tbl-q">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7" w:name="tbl-q"/>
          <w:p>
            <w:pPr>
              <w:pStyle w:val="TableCaption"/>
            </w:pPr>
            <w:r>
              <w:t xml:space="preserve">Table 15: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5: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67"/>
        </w:tc>
      </w:tr>
    </w:tbl>
    <w:bookmarkEnd w:id="268"/>
    <w:bookmarkStart w:id="269"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16</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15</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69"/>
    <w:bookmarkStart w:id="271" w:name="tbl-d"/>
    <w:p>
      <w:pPr>
        <w:pStyle w:val="Heading4"/>
      </w:pPr>
      <w:hyperlink w:anchor="tbl-d">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0" w:name="tbl-d"/>
          <w:p>
            <w:pPr>
              <w:pStyle w:val="TableCaption"/>
            </w:pPr>
            <w:r>
              <w:t xml:space="preserve">Table 16: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6: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70"/>
        </w:tc>
      </w:tr>
    </w:tbl>
    <w:bookmarkEnd w:id="271"/>
    <w:bookmarkStart w:id="272"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17</w:t>
        </w:r>
      </w:hyperlink>
      <w:r>
        <w:t xml:space="preserve"> </w:t>
      </w:r>
      <w:r>
        <w:t xml:space="preserve">list the numbers of the days that begin and end each</w:t>
      </w:r>
      <w:r>
        <w:t xml:space="preserve"> </w:t>
      </w:r>
      <w:r>
        <w:rPr>
          <w:rStyle w:val="VerbatimChar"/>
        </w:rPr>
        <w:t xml:space="preserve">ep</w:t>
      </w:r>
      <w:r>
        <w:t xml:space="preserve">.</w:t>
      </w:r>
    </w:p>
    <w:bookmarkEnd w:id="272"/>
    <w:bookmarkStart w:id="274" w:name="tbl-e"/>
    <w:p>
      <w:pPr>
        <w:pStyle w:val="Heading4"/>
      </w:pPr>
      <w:hyperlink w:anchor="tbl-e">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3" w:name="tbl-e"/>
          <w:p>
            <w:pPr>
              <w:pStyle w:val="TableCaption"/>
            </w:pPr>
            <w:r>
              <w:t xml:space="preserve">Table 17: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7: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73"/>
        </w:tc>
      </w:tr>
    </w:tbl>
    <w:bookmarkEnd w:id="274"/>
    <w:bookmarkStart w:id="275"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18</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75"/>
    <w:bookmarkStart w:id="277" w:name="tbl-w"/>
    <w:p>
      <w:pPr>
        <w:pStyle w:val="Heading4"/>
      </w:pPr>
      <w:hyperlink w:anchor="tbl-w">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6" w:name="tbl-w"/>
          <w:p>
            <w:pPr>
              <w:pStyle w:val="TableCaption"/>
            </w:pPr>
            <w:r>
              <w:t xml:space="preserve">Table 18: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8: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76"/>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77"/>
    <w:bookmarkEnd w:id="278"/>
    <w:bookmarkEnd w:id="279"/>
    <w:bookmarkEnd w:id="280"/>
    <w:bookmarkStart w:id="312" w:name="sec-series"/>
    <w:p>
      <w:pPr>
        <w:pStyle w:val="Heading1"/>
      </w:pPr>
      <w:r>
        <w:t xml:space="preserve">8.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83" w:name="sec-slice"/>
    <w:p>
      <w:pPr>
        <w:pStyle w:val="Heading2"/>
      </w:pPr>
      <w:r>
        <w:t xml:space="preserve">8.1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19</w:t>
        </w:r>
      </w:hyperlink>
      <w:r>
        <w:t xml:space="preserve"> </w:t>
      </w:r>
      <w:r>
        <w:t xml:space="preserve">indicates a number that has to be incremented in leap years.</w:t>
      </w:r>
    </w:p>
    <w:bookmarkStart w:id="282" w:name="tbl-4slice"/>
    <w:p>
      <w:pPr>
        <w:pStyle w:val="Heading4"/>
      </w:pPr>
      <w:hyperlink w:anchor="tbl-4slice">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81" w:name="tbl-4slice"/>
          <w:p>
            <w:pPr>
              <w:pStyle w:val="TableCaption"/>
            </w:pPr>
            <w:r>
              <w:t xml:space="preserve">Table 19: The slices that represent the 4-part subyear units</w:t>
            </w:r>
          </w:p>
          <w:tbl>
            <w:tblPr>
              <w:tblStyle w:val="Table"/>
              <w:tblW w:type="auto" w:w="0"/>
              <w:tblLook w:firstRow="1" w:lastRow="0" w:firstColumn="0" w:lastColumn="0" w:noHBand="0" w:noVBand="0" w:val="0020"/>
              <w:jc w:val="start"/>
              <w:tblCaption w:val="Table 19: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81"/>
        </w:tc>
      </w:tr>
    </w:tbl>
    <w:bookmarkEnd w:id="282"/>
    <w:bookmarkEnd w:id="283"/>
    <w:bookmarkStart w:id="284" w:name="sec-step"/>
    <w:p>
      <w:pPr>
        <w:pStyle w:val="Heading2"/>
      </w:pPr>
      <w:r>
        <w:t xml:space="preserve">8.2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84"/>
    <w:bookmarkStart w:id="287" w:name="sec-spread"/>
    <w:p>
      <w:pPr>
        <w:pStyle w:val="Heading2"/>
      </w:pPr>
      <w:r>
        <w:t xml:space="preserve">8.3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86" w:name="tbl-4spread"/>
    <w:p>
      <w:pPr>
        <w:pStyle w:val="Heading4"/>
      </w:pPr>
      <w:hyperlink w:anchor="tbl-4spread">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85" w:name="tbl-4spread"/>
          <w:p>
            <w:pPr>
              <w:pStyle w:val="TableCaption"/>
            </w:pPr>
            <w:r>
              <w:t xml:space="preserve">Table 20: The spreads that represent the 4-part subyear units</w:t>
            </w:r>
          </w:p>
          <w:tbl>
            <w:tblPr>
              <w:tblStyle w:val="Table"/>
              <w:tblW w:type="auto" w:w="0"/>
              <w:tblLook w:firstRow="1" w:lastRow="0" w:firstColumn="0" w:lastColumn="0" w:noHBand="0" w:noVBand="0" w:val="0020"/>
              <w:jc w:val="start"/>
              <w:tblCaption w:val="Table 20: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85"/>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86"/>
    <w:bookmarkEnd w:id="287"/>
    <w:bookmarkStart w:id="288" w:name="sec-split"/>
    <w:p>
      <w:pPr>
        <w:pStyle w:val="Heading2"/>
      </w:pPr>
      <w:r>
        <w:t xml:space="preserve">8.4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88"/>
    <w:bookmarkStart w:id="291" w:name="sec-space"/>
    <w:p>
      <w:pPr>
        <w:pStyle w:val="Heading2"/>
      </w:pPr>
      <w:r>
        <w:t xml:space="preserve">8.5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21</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90" w:name="tbl-constant"/>
    <w:p>
      <w:pPr>
        <w:pStyle w:val="Heading4"/>
      </w:pPr>
      <w:hyperlink w:anchor="tbl-constant">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89" w:name="tbl-constant"/>
          <w:p>
            <w:pPr>
              <w:pStyle w:val="TableCaption"/>
            </w:pPr>
            <w:r>
              <w:t xml:space="preserve">Table 21: The spreads that represent the constant length subyear units</w:t>
            </w:r>
          </w:p>
          <w:tbl>
            <w:tblPr>
              <w:tblStyle w:val="Table"/>
              <w:tblW w:type="auto" w:w="0"/>
              <w:tblLook w:firstRow="1" w:lastRow="0" w:firstColumn="0" w:lastColumn="0" w:noHBand="0" w:noVBand="0" w:val="0020"/>
              <w:jc w:val="start"/>
              <w:tblCaption w:val="Table 21: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89"/>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90"/>
    <w:bookmarkEnd w:id="291"/>
    <w:bookmarkStart w:id="294" w:name="sec-seq"/>
    <w:p>
      <w:pPr>
        <w:pStyle w:val="Heading2"/>
      </w:pPr>
      <w:r>
        <w:t xml:space="preserve">8.6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22</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93" w:name="tbl-workday"/>
    <w:p>
      <w:pPr>
        <w:pStyle w:val="Heading4"/>
      </w:pPr>
      <w:hyperlink w:anchor="tbl-workday">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92" w:name="tbl-workday"/>
          <w:p>
            <w:pPr>
              <w:pStyle w:val="TableCaption"/>
            </w:pPr>
            <w:r>
              <w:t xml:space="preserve">Table 22: A workday schedule with a lunch break</w:t>
            </w:r>
          </w:p>
          <w:tbl>
            <w:tblPr>
              <w:tblStyle w:val="Table"/>
              <w:tblW w:type="auto" w:w="0"/>
              <w:tblLook w:firstRow="1" w:lastRow="0" w:firstColumn="0" w:lastColumn="0" w:noHBand="0" w:noVBand="0" w:val="0020"/>
              <w:jc w:val="start"/>
              <w:tblCaption w:val="Table 22: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92"/>
        </w:tc>
      </w:tr>
    </w:tbl>
    <w:bookmarkEnd w:id="293"/>
    <w:bookmarkEnd w:id="294"/>
    <w:bookmarkStart w:id="301" w:name="sec-pom"/>
    <w:p>
      <w:pPr>
        <w:pStyle w:val="Heading2"/>
      </w:pPr>
      <w:r>
        <w:t xml:space="preserve">8.7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95">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96" w:name="sec-rep"/>
    <w:p>
      <w:pPr>
        <w:pStyle w:val="Heading3"/>
      </w:pPr>
      <w:r>
        <w:t xml:space="preserve">8.7.1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96"/>
    <w:bookmarkStart w:id="297" w:name="sec-per"/>
    <w:p>
      <w:pPr>
        <w:pStyle w:val="Heading3"/>
      </w:pPr>
      <w:r>
        <w:t xml:space="preserve">8.7.2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97"/>
    <w:bookmarkStart w:id="300" w:name="sec-3s"/>
    <w:p>
      <w:pPr>
        <w:pStyle w:val="Heading3"/>
      </w:pPr>
      <w:r>
        <w:t xml:space="preserve">8.7.3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23</w:t>
        </w:r>
      </w:hyperlink>
      <w:r>
        <w:t xml:space="preserve">.</w:t>
      </w:r>
    </w:p>
    <w:bookmarkStart w:id="299" w:name="tbl-sched"/>
    <w:p>
      <w:pPr>
        <w:pStyle w:val="Heading4"/>
      </w:pPr>
      <w:hyperlink w:anchor="tbl-sched">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98" w:name="tbl-sched"/>
          <w:p>
            <w:pPr>
              <w:pStyle w:val="TableCaption"/>
            </w:pPr>
            <w:r>
              <w:t xml:space="preserve">Table 23: The seq spreads, splices, and sleds that represent the 4 pently schedules</w:t>
            </w:r>
          </w:p>
          <w:tbl>
            <w:tblPr>
              <w:tblStyle w:val="Table"/>
              <w:tblW w:type="pct" w:w="5000"/>
              <w:tblLook w:firstRow="1" w:lastRow="0" w:firstColumn="0" w:lastColumn="0" w:noHBand="0" w:noVBand="0" w:val="0020"/>
              <w:jc w:val="start"/>
              <w:tblCaption w:val="Table 23: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98"/>
        </w:tc>
      </w:tr>
    </w:tbl>
    <w:bookmarkEnd w:id="299"/>
    <w:bookmarkEnd w:id="300"/>
    <w:bookmarkEnd w:id="301"/>
    <w:bookmarkStart w:id="308" w:name="sec-trans"/>
    <w:p>
      <w:pPr>
        <w:pStyle w:val="Heading2"/>
      </w:pPr>
      <w:r>
        <w:t xml:space="preserve">8.8 Yearly transition</w:t>
      </w:r>
    </w:p>
    <w:bookmarkStart w:id="304" w:name="sec-transc"/>
    <w:p>
      <w:pPr>
        <w:pStyle w:val="Heading3"/>
      </w:pPr>
      <w:r>
        <w:t xml:space="preserve">8.8.1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03" w:name="tbl-common"/>
    <w:p>
      <w:pPr>
        <w:pStyle w:val="Heading4"/>
      </w:pPr>
      <w:hyperlink w:anchor="tbl-common">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02" w:name="tbl-common"/>
          <w:p>
            <w:pPr>
              <w:pStyle w:val="TableCaption"/>
            </w:pPr>
            <w:r>
              <w:t xml:space="preserve">Table 24: The days in Dek 36 in common years</w:t>
            </w:r>
          </w:p>
          <w:tbl>
            <w:tblPr>
              <w:tblStyle w:val="Table"/>
              <w:tblW w:type="auto" w:w="0"/>
              <w:tblLook w:firstRow="1" w:lastRow="0" w:firstColumn="0" w:lastColumn="0" w:noHBand="0" w:noVBand="0" w:val="0020"/>
              <w:jc w:val="start"/>
              <w:tblCaption w:val="Table 24: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02"/>
        </w:tc>
      </w:tr>
    </w:tbl>
    <w:bookmarkEnd w:id="303"/>
    <w:bookmarkEnd w:id="304"/>
    <w:bookmarkStart w:id="307" w:name="sec-transl"/>
    <w:p>
      <w:pPr>
        <w:pStyle w:val="Heading3"/>
      </w:pPr>
      <w:r>
        <w:t xml:space="preserve">8.8.2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06" w:name="tbl-leap"/>
    <w:p>
      <w:pPr>
        <w:pStyle w:val="Heading4"/>
      </w:pPr>
      <w:hyperlink w:anchor="tbl-leap">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05" w:name="tbl-leap"/>
          <w:p>
            <w:pPr>
              <w:pStyle w:val="TableCaption"/>
            </w:pPr>
            <w:r>
              <w:t xml:space="preserve">Table 25: The days in Dek 36 in leap years</w:t>
            </w:r>
          </w:p>
          <w:tbl>
            <w:tblPr>
              <w:tblStyle w:val="Table"/>
              <w:tblW w:type="auto" w:w="0"/>
              <w:tblLook w:firstRow="1" w:lastRow="0" w:firstColumn="0" w:lastColumn="0" w:noHBand="0" w:noVBand="0" w:val="0020"/>
              <w:jc w:val="start"/>
              <w:tblCaption w:val="Table 25: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05"/>
        </w:tc>
      </w:tr>
    </w:tbl>
    <w:bookmarkEnd w:id="306"/>
    <w:bookmarkEnd w:id="307"/>
    <w:bookmarkEnd w:id="308"/>
    <w:bookmarkStart w:id="311" w:name="sec-holiday"/>
    <w:p>
      <w:pPr>
        <w:pStyle w:val="Heading2"/>
      </w:pPr>
      <w:r>
        <w:t xml:space="preserve">8.9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26</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10" w:name="tbl-holiday"/>
    <w:p>
      <w:pPr>
        <w:pStyle w:val="Heading4"/>
      </w:pPr>
      <w:hyperlink w:anchor="tbl-holiday">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09" w:name="tbl-holiday"/>
          <w:p>
            <w:pPr>
              <w:pStyle w:val="TableCaption"/>
            </w:pPr>
            <w:r>
              <w:t xml:space="preserve">Table 26: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6: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09"/>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10"/>
    <w:bookmarkEnd w:id="311"/>
    <w:bookmarkEnd w:id="312"/>
    <w:bookmarkStart w:id="315" w:name="references"/>
    <w:p>
      <w:pPr>
        <w:pStyle w:val="Heading1"/>
      </w:pPr>
      <w:r>
        <w:t xml:space="preserve">9. References</w:t>
      </w:r>
    </w:p>
    <w:bookmarkStart w:id="314" w:name="refs"/>
    <w:bookmarkStart w:id="313" w:name="ref-hinnant2014"/>
    <w:p>
      <w:pPr>
        <w:pStyle w:val="Bibliography"/>
      </w:pPr>
      <w:r>
        <w:t xml:space="preserve">Hinnant, Howard. 2014.</w:t>
      </w:r>
      <w:r>
        <w:t xml:space="preserve"> </w:t>
      </w:r>
      <w:r>
        <w:t xml:space="preserve">“Chrono-Compatible Low-Level Date Algorithms.”</w:t>
      </w:r>
      <w:r>
        <w:t xml:space="preserve"> </w:t>
      </w:r>
      <w:hyperlink r:id="rId73">
        <w:r>
          <w:rPr>
            <w:rStyle w:val="Hyperlink"/>
          </w:rPr>
          <w:t xml:space="preserve">http://howardhinnant.github.io/date_algorithms.html</w:t>
        </w:r>
      </w:hyperlink>
      <w:r>
        <w:t xml:space="preserve">.</w:t>
      </w:r>
    </w:p>
    <w:bookmarkEnd w:id="313"/>
    <w:bookmarkEnd w:id="314"/>
    <w:bookmarkEnd w:id="3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hyperlink" Id="rId73" Target="http://howardhinnant.github.io/date_algorithms.html" TargetMode="External" /><Relationship Type="http://schemas.openxmlformats.org/officeDocument/2006/relationships/hyperlink" Id="rId71" Target="http://howardhinnant.github.io/date_algorithms.html#civil_from_days" TargetMode="External" /><Relationship Type="http://schemas.openxmlformats.org/officeDocument/2006/relationships/hyperlink" Id="rId70" Target="http://howardhinnant.github.io/date_algorithms.html#days_from_civil" TargetMode="External" /><Relationship Type="http://schemas.openxmlformats.org/officeDocument/2006/relationships/hyperlink" Id="rId96" Target="http://howardhinnant.github.io/date_algorithms.html#is_leap" TargetMode="External" /><Relationship Type="http://schemas.openxmlformats.org/officeDocument/2006/relationships/hyperlink" Id="rId215" Target="https://codepen.io/maptv/pen/oNJZeea" TargetMode="External" /><Relationship Type="http://schemas.openxmlformats.org/officeDocument/2006/relationships/hyperlink" Id="rId240" Target="https://en.m.wikipedia.org/wiki/Numeral_prefix#Table_of_number_prefixes_in_English" TargetMode="External" /><Relationship Type="http://schemas.openxmlformats.org/officeDocument/2006/relationships/hyperlink" Id="rId187" Target="https://en.wikipedia.org/wiki/Array_slicing" TargetMode="External" /><Relationship Type="http://schemas.openxmlformats.org/officeDocument/2006/relationships/hyperlink" Id="rId64" Target="https://en.wikipedia.org/wiki/Cartesian_coordinate_system" TargetMode="External" /><Relationship Type="http://schemas.openxmlformats.org/officeDocument/2006/relationships/hyperlink" Id="rId141" Target="https://en.wikipedia.org/wiki/Coordinated_Universal_Time" TargetMode="External" /><Relationship Type="http://schemas.openxmlformats.org/officeDocument/2006/relationships/hyperlink" Id="rId51" Target="https://en.wikipedia.org/wiki/Countdown" TargetMode="External" /><Relationship Type="http://schemas.openxmlformats.org/officeDocument/2006/relationships/hyperlink" Id="rId44" Target="https://en.wikipedia.org/wiki/Decimal_time#Fractional_days" TargetMode="External" /><Relationship Type="http://schemas.openxmlformats.org/officeDocument/2006/relationships/hyperlink" Id="rId193" Target="https://en.wikipedia.org/wiki/French_Republican_calendar" TargetMode="External" /><Relationship Type="http://schemas.openxmlformats.org/officeDocument/2006/relationships/hyperlink" Id="rId63"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38" Target="https://en.wikipedia.org/wiki/Hexadecimal" TargetMode="External" /><Relationship Type="http://schemas.openxmlformats.org/officeDocument/2006/relationships/hyperlink" Id="rId105" Target="https://en.wikipedia.org/wiki/ISO_8601" TargetMode="External" /><Relationship Type="http://schemas.openxmlformats.org/officeDocument/2006/relationships/hyperlink" Id="rId127" Target="https://en.wikipedia.org/wiki/ISO_8601#Calendar_dates" TargetMode="External" /><Relationship Type="http://schemas.openxmlformats.org/officeDocument/2006/relationships/hyperlink" Id="rId106" Target="https://en.wikipedia.org/wiki/ISO_8601#Dates" TargetMode="External" /><Relationship Type="http://schemas.openxmlformats.org/officeDocument/2006/relationships/hyperlink" Id="rId110" Target="https://en.wikipedia.org/wiki/ISO_8601#Ordinal_dates" TargetMode="External" /><Relationship Type="http://schemas.openxmlformats.org/officeDocument/2006/relationships/hyperlink" Id="rId186" Target="https://en.wikipedia.org/wiki/ISO_8601#Repeating_intervals" TargetMode="External" /><Relationship Type="http://schemas.openxmlformats.org/officeDocument/2006/relationships/hyperlink" Id="rId183" Target="https://en.wikipedia.org/wiki/ISO_8601#Time_intervals" TargetMode="External" /><Relationship Type="http://schemas.openxmlformats.org/officeDocument/2006/relationships/hyperlink" Id="rId107" Target="https://en.wikipedia.org/wiki/ISO_8601#Times" TargetMode="External" /><Relationship Type="http://schemas.openxmlformats.org/officeDocument/2006/relationships/hyperlink" Id="rId108" Target="https://en.wikipedia.org/wiki/ISO_8601#Years" TargetMode="External" /><Relationship Type="http://schemas.openxmlformats.org/officeDocument/2006/relationships/hyperlink" Id="rId204" Target="https://en.wikipedia.org/wiki/Julian_day#Variants" TargetMode="External" /><Relationship Type="http://schemas.openxmlformats.org/officeDocument/2006/relationships/hyperlink" Id="rId60" Target="https://en.wikipedia.org/wiki/List_of_UTC_offsets" TargetMode="External" /><Relationship Type="http://schemas.openxmlformats.org/officeDocument/2006/relationships/hyperlink" Id="rId205" Target="https://en.wikipedia.org/wiki/List_of_UTC_offsets#UTC%C2%B100:00,_Z" TargetMode="External" /><Relationship Type="http://schemas.openxmlformats.org/officeDocument/2006/relationships/hyperlink" Id="rId202" Target="https://en.wikipedia.org/wiki/List_of_UTC_offsets#UTC+01:00,_A" TargetMode="External" /><Relationship Type="http://schemas.openxmlformats.org/officeDocument/2006/relationships/hyperlink" Id="rId139" Target="https://en.wikipedia.org/wiki/Military_time_zone#Description" TargetMode="External" /><Relationship Type="http://schemas.openxmlformats.org/officeDocument/2006/relationships/hyperlink" Id="rId61" Target="https://en.wikipedia.org/wiki/Noon#Solar_noon" TargetMode="External" /><Relationship Type="http://schemas.openxmlformats.org/officeDocument/2006/relationships/hyperlink" Id="rId26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39" Target="https://en.wikipedia.org/wiki/Ordinal_numeral" TargetMode="External" /><Relationship Type="http://schemas.openxmlformats.org/officeDocument/2006/relationships/hyperlink" Id="rId57" Target="https://en.wikipedia.org/wiki/Period_(music)" TargetMode="External" /><Relationship Type="http://schemas.openxmlformats.org/officeDocument/2006/relationships/hyperlink" Id="rId295" Target="https://en.wikipedia.org/wiki/Pomodoro_Technique" TargetMode="External" /><Relationship Type="http://schemas.openxmlformats.org/officeDocument/2006/relationships/hyperlink" Id="rId38"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201" Target="https://en.wikipedia.org/wiki/Swatch_Internet_Time" TargetMode="External" /><Relationship Type="http://schemas.openxmlformats.org/officeDocument/2006/relationships/hyperlink" Id="rId140" Target="https://en.wikipedia.org/wiki/UTC+00:00" TargetMode="External" /><Relationship Type="http://schemas.openxmlformats.org/officeDocument/2006/relationships/hyperlink" Id="rId49" Target="https://en.wikipedia.org/wiki/Zero-based_numbering" TargetMode="External" /><Relationship Type="http://schemas.openxmlformats.org/officeDocument/2006/relationships/hyperlink" Id="rId50" Target="https://en.wikipedia.org/wiki/Zero-based_numbering#Computer_programming" TargetMode="External" /><Relationship Type="http://schemas.openxmlformats.org/officeDocument/2006/relationships/hyperlink" Id="rId72" Target="https://howardhinnant.github.io/" TargetMode="External" /><Relationship Type="http://schemas.openxmlformats.org/officeDocument/2006/relationships/hyperlink" Id="rId189" Target="https://pandas.pydata.org/" TargetMode="External" /><Relationship Type="http://schemas.openxmlformats.org/officeDocument/2006/relationships/hyperlink" Id="rId188" Target="https://pandas.pydata.org/pandas-docs/version/1.1/user_guide/timeseries.html#indexing" TargetMode="External" /><Relationship Type="http://schemas.openxmlformats.org/officeDocument/2006/relationships/hyperlink" Id="rId46"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73" Target="http://howardhinnant.github.io/date_algorithms.html" TargetMode="External" /><Relationship Type="http://schemas.openxmlformats.org/officeDocument/2006/relationships/hyperlink" Id="rId71" Target="http://howardhinnant.github.io/date_algorithms.html#civil_from_days" TargetMode="External" /><Relationship Type="http://schemas.openxmlformats.org/officeDocument/2006/relationships/hyperlink" Id="rId70" Target="http://howardhinnant.github.io/date_algorithms.html#days_from_civil" TargetMode="External" /><Relationship Type="http://schemas.openxmlformats.org/officeDocument/2006/relationships/hyperlink" Id="rId96" Target="http://howardhinnant.github.io/date_algorithms.html#is_leap" TargetMode="External" /><Relationship Type="http://schemas.openxmlformats.org/officeDocument/2006/relationships/hyperlink" Id="rId215" Target="https://codepen.io/maptv/pen/oNJZeea" TargetMode="External" /><Relationship Type="http://schemas.openxmlformats.org/officeDocument/2006/relationships/hyperlink" Id="rId240" Target="https://en.m.wikipedia.org/wiki/Numeral_prefix#Table_of_number_prefixes_in_English" TargetMode="External" /><Relationship Type="http://schemas.openxmlformats.org/officeDocument/2006/relationships/hyperlink" Id="rId187" Target="https://en.wikipedia.org/wiki/Array_slicing" TargetMode="External" /><Relationship Type="http://schemas.openxmlformats.org/officeDocument/2006/relationships/hyperlink" Id="rId64" Target="https://en.wikipedia.org/wiki/Cartesian_coordinate_system" TargetMode="External" /><Relationship Type="http://schemas.openxmlformats.org/officeDocument/2006/relationships/hyperlink" Id="rId141" Target="https://en.wikipedia.org/wiki/Coordinated_Universal_Time" TargetMode="External" /><Relationship Type="http://schemas.openxmlformats.org/officeDocument/2006/relationships/hyperlink" Id="rId51" Target="https://en.wikipedia.org/wiki/Countdown" TargetMode="External" /><Relationship Type="http://schemas.openxmlformats.org/officeDocument/2006/relationships/hyperlink" Id="rId44" Target="https://en.wikipedia.org/wiki/Decimal_time#Fractional_days" TargetMode="External" /><Relationship Type="http://schemas.openxmlformats.org/officeDocument/2006/relationships/hyperlink" Id="rId193" Target="https://en.wikipedia.org/wiki/French_Republican_calendar" TargetMode="External" /><Relationship Type="http://schemas.openxmlformats.org/officeDocument/2006/relationships/hyperlink" Id="rId63"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38" Target="https://en.wikipedia.org/wiki/Hexadecimal" TargetMode="External" /><Relationship Type="http://schemas.openxmlformats.org/officeDocument/2006/relationships/hyperlink" Id="rId105" Target="https://en.wikipedia.org/wiki/ISO_8601" TargetMode="External" /><Relationship Type="http://schemas.openxmlformats.org/officeDocument/2006/relationships/hyperlink" Id="rId127" Target="https://en.wikipedia.org/wiki/ISO_8601#Calendar_dates" TargetMode="External" /><Relationship Type="http://schemas.openxmlformats.org/officeDocument/2006/relationships/hyperlink" Id="rId106" Target="https://en.wikipedia.org/wiki/ISO_8601#Dates" TargetMode="External" /><Relationship Type="http://schemas.openxmlformats.org/officeDocument/2006/relationships/hyperlink" Id="rId110" Target="https://en.wikipedia.org/wiki/ISO_8601#Ordinal_dates" TargetMode="External" /><Relationship Type="http://schemas.openxmlformats.org/officeDocument/2006/relationships/hyperlink" Id="rId186" Target="https://en.wikipedia.org/wiki/ISO_8601#Repeating_intervals" TargetMode="External" /><Relationship Type="http://schemas.openxmlformats.org/officeDocument/2006/relationships/hyperlink" Id="rId183" Target="https://en.wikipedia.org/wiki/ISO_8601#Time_intervals" TargetMode="External" /><Relationship Type="http://schemas.openxmlformats.org/officeDocument/2006/relationships/hyperlink" Id="rId107" Target="https://en.wikipedia.org/wiki/ISO_8601#Times" TargetMode="External" /><Relationship Type="http://schemas.openxmlformats.org/officeDocument/2006/relationships/hyperlink" Id="rId108" Target="https://en.wikipedia.org/wiki/ISO_8601#Years" TargetMode="External" /><Relationship Type="http://schemas.openxmlformats.org/officeDocument/2006/relationships/hyperlink" Id="rId204" Target="https://en.wikipedia.org/wiki/Julian_day#Variants" TargetMode="External" /><Relationship Type="http://schemas.openxmlformats.org/officeDocument/2006/relationships/hyperlink" Id="rId60" Target="https://en.wikipedia.org/wiki/List_of_UTC_offsets" TargetMode="External" /><Relationship Type="http://schemas.openxmlformats.org/officeDocument/2006/relationships/hyperlink" Id="rId205" Target="https://en.wikipedia.org/wiki/List_of_UTC_offsets#UTC%C2%B100:00,_Z" TargetMode="External" /><Relationship Type="http://schemas.openxmlformats.org/officeDocument/2006/relationships/hyperlink" Id="rId202" Target="https://en.wikipedia.org/wiki/List_of_UTC_offsets#UTC+01:00,_A" TargetMode="External" /><Relationship Type="http://schemas.openxmlformats.org/officeDocument/2006/relationships/hyperlink" Id="rId139" Target="https://en.wikipedia.org/wiki/Military_time_zone#Description" TargetMode="External" /><Relationship Type="http://schemas.openxmlformats.org/officeDocument/2006/relationships/hyperlink" Id="rId61" Target="https://en.wikipedia.org/wiki/Noon#Solar_noon" TargetMode="External" /><Relationship Type="http://schemas.openxmlformats.org/officeDocument/2006/relationships/hyperlink" Id="rId26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39" Target="https://en.wikipedia.org/wiki/Ordinal_numeral" TargetMode="External" /><Relationship Type="http://schemas.openxmlformats.org/officeDocument/2006/relationships/hyperlink" Id="rId57" Target="https://en.wikipedia.org/wiki/Period_(music)" TargetMode="External" /><Relationship Type="http://schemas.openxmlformats.org/officeDocument/2006/relationships/hyperlink" Id="rId295" Target="https://en.wikipedia.org/wiki/Pomodoro_Technique" TargetMode="External" /><Relationship Type="http://schemas.openxmlformats.org/officeDocument/2006/relationships/hyperlink" Id="rId38"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201" Target="https://en.wikipedia.org/wiki/Swatch_Internet_Time" TargetMode="External" /><Relationship Type="http://schemas.openxmlformats.org/officeDocument/2006/relationships/hyperlink" Id="rId140" Target="https://en.wikipedia.org/wiki/UTC+00:00" TargetMode="External" /><Relationship Type="http://schemas.openxmlformats.org/officeDocument/2006/relationships/hyperlink" Id="rId49" Target="https://en.wikipedia.org/wiki/Zero-based_numbering" TargetMode="External" /><Relationship Type="http://schemas.openxmlformats.org/officeDocument/2006/relationships/hyperlink" Id="rId50" Target="https://en.wikipedia.org/wiki/Zero-based_numbering#Computer_programming" TargetMode="External" /><Relationship Type="http://schemas.openxmlformats.org/officeDocument/2006/relationships/hyperlink" Id="rId72" Target="https://howardhinnant.github.io/" TargetMode="External" /><Relationship Type="http://schemas.openxmlformats.org/officeDocument/2006/relationships/hyperlink" Id="rId189" Target="https://pandas.pydata.org/" TargetMode="External" /><Relationship Type="http://schemas.openxmlformats.org/officeDocument/2006/relationships/hyperlink" Id="rId188" Target="https://pandas.pydata.org/pandas-docs/version/1.1/user_guide/timeseries.html#indexing" TargetMode="External" /><Relationship Type="http://schemas.openxmlformats.org/officeDocument/2006/relationships/hyperlink" Id="rId46"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2023-10-05T20:36:07Z</dcterms:created>
  <dcterms:modified xsi:type="dcterms:W3CDTF">2023-10-05T20:36:07Z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toc-title">
    <vt:lpwstr>Table of contents</vt:lpwstr>
  </property>
</Properties>
</file>