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5C" w:rsidRDefault="00AB3A5C" w:rsidP="00AB3A5C">
      <w:pPr>
        <w:shd w:val="clear" w:color="auto" w:fill="FFFFFF"/>
        <w:spacing w:before="100" w:beforeAutospacing="1" w:after="100" w:afterAutospacing="1" w:line="240" w:lineRule="auto"/>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Toques &amp; Clochers "Haute Vallée"</w:t>
      </w:r>
    </w:p>
    <w:p w:rsidR="00AB3A5C" w:rsidRDefault="00AB3A5C" w:rsidP="00AB3A5C">
      <w:pPr>
        <w:shd w:val="clear" w:color="auto" w:fill="FFFFFF"/>
        <w:spacing w:before="100" w:beforeAutospacing="1" w:after="100" w:afterAutospacing="1" w:line="240" w:lineRule="auto"/>
        <w:jc w:val="center"/>
        <w:rPr>
          <w:rFonts w:ascii="Arial" w:eastAsia="Times New Roman" w:hAnsi="Arial" w:cs="Arial"/>
          <w:color w:val="000000"/>
          <w:sz w:val="18"/>
          <w:szCs w:val="18"/>
          <w:lang w:eastAsia="fr-FR"/>
        </w:rPr>
      </w:pPr>
      <w:r>
        <w:rPr>
          <w:noProof/>
          <w:lang w:eastAsia="fr-FR"/>
        </w:rPr>
        <w:drawing>
          <wp:inline distT="0" distB="0" distL="0" distR="0">
            <wp:extent cx="822354" cy="2381250"/>
            <wp:effectExtent l="19050" t="0" r="0" b="0"/>
            <wp:docPr id="7" name="Image 7" descr="Chardonnay Les 4 terroirs Toques &amp; Clochers : Haute vallée 75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donnay Les 4 terroirs Toques &amp; Clochers : Haute vallée 75cl"/>
                    <pic:cNvPicPr>
                      <a:picLocks noChangeAspect="1" noChangeArrowheads="1"/>
                    </pic:cNvPicPr>
                  </pic:nvPicPr>
                  <pic:blipFill>
                    <a:blip r:embed="rId4"/>
                    <a:srcRect/>
                    <a:stretch>
                      <a:fillRect/>
                    </a:stretch>
                  </pic:blipFill>
                  <pic:spPr bwMode="auto">
                    <a:xfrm>
                      <a:off x="0" y="0"/>
                      <a:ext cx="822354" cy="2381250"/>
                    </a:xfrm>
                    <a:prstGeom prst="rect">
                      <a:avLst/>
                    </a:prstGeom>
                    <a:noFill/>
                    <a:ln w="9525">
                      <a:noFill/>
                      <a:miter lim="800000"/>
                      <a:headEnd/>
                      <a:tailEnd/>
                    </a:ln>
                  </pic:spPr>
                </pic:pic>
              </a:graphicData>
            </a:graphic>
          </wp:inline>
        </w:drawing>
      </w:r>
    </w:p>
    <w:p w:rsidR="00AB3A5C" w:rsidRDefault="00AB3A5C" w:rsidP="00AB3A5C">
      <w:pPr>
        <w:shd w:val="clear" w:color="auto" w:fill="FFFFFF"/>
        <w:spacing w:before="100" w:beforeAutospacing="1" w:after="100" w:afterAutospacing="1" w:line="240" w:lineRule="auto"/>
        <w:jc w:val="both"/>
        <w:rPr>
          <w:rFonts w:ascii="Arial" w:eastAsia="Times New Roman" w:hAnsi="Arial" w:cs="Arial"/>
          <w:color w:val="000000"/>
          <w:sz w:val="18"/>
          <w:szCs w:val="18"/>
          <w:lang w:eastAsia="fr-FR"/>
        </w:rPr>
      </w:pPr>
    </w:p>
    <w:p w:rsidR="00AB3A5C" w:rsidRPr="00AB3A5C" w:rsidRDefault="00AB3A5C" w:rsidP="00AB3A5C">
      <w:pPr>
        <w:shd w:val="clear" w:color="auto" w:fill="FFFFFF"/>
        <w:spacing w:before="100" w:beforeAutospacing="1" w:after="100" w:afterAutospacing="1" w:line="240" w:lineRule="auto"/>
        <w:jc w:val="both"/>
        <w:rPr>
          <w:rFonts w:ascii="Arial" w:eastAsia="Times New Roman" w:hAnsi="Arial" w:cs="Arial"/>
          <w:color w:val="000000"/>
          <w:sz w:val="18"/>
          <w:szCs w:val="18"/>
          <w:lang w:eastAsia="fr-FR"/>
        </w:rPr>
      </w:pPr>
      <w:r w:rsidRPr="00AB3A5C">
        <w:rPr>
          <w:rFonts w:ascii="Arial" w:eastAsia="Times New Roman" w:hAnsi="Arial" w:cs="Arial"/>
          <w:color w:val="000000"/>
          <w:sz w:val="18"/>
          <w:szCs w:val="18"/>
          <w:lang w:eastAsia="fr-FR"/>
        </w:rPr>
        <w:t>Ce Chardonnay est tout simplement éblouissant. Equilibré, avec des notes minérales, il fleure bon la proximité des Pyrénées. Une véritable œuvre d'art à classer parmi les très grands vins blancs.</w:t>
      </w:r>
    </w:p>
    <w:p w:rsidR="00AB3A5C" w:rsidRPr="00AB3A5C" w:rsidRDefault="00005CD5" w:rsidP="00AB3A5C">
      <w:pPr>
        <w:spacing w:after="0" w:line="240" w:lineRule="auto"/>
        <w:rPr>
          <w:rFonts w:ascii="Times New Roman" w:eastAsia="Times New Roman" w:hAnsi="Times New Roman" w:cs="Times New Roman"/>
          <w:sz w:val="24"/>
          <w:szCs w:val="24"/>
          <w:lang w:eastAsia="fr-FR"/>
        </w:rPr>
      </w:pPr>
      <w:r w:rsidRPr="00005CD5">
        <w:rPr>
          <w:rFonts w:ascii="Times New Roman" w:eastAsia="Times New Roman" w:hAnsi="Times New Roman" w:cs="Times New Roman"/>
          <w:sz w:val="24"/>
          <w:szCs w:val="24"/>
          <w:lang w:eastAsia="fr-FR"/>
        </w:rPr>
        <w:pict>
          <v:rect id="_x0000_i1025" style="width:0;height:1.5pt" o:hrstd="t" o:hrnoshade="t" o:hr="t" fillcolor="#595959" stroked="f"/>
        </w:pict>
      </w:r>
    </w:p>
    <w:tbl>
      <w:tblPr>
        <w:tblW w:w="5000" w:type="pct"/>
        <w:tblCellSpacing w:w="0" w:type="dxa"/>
        <w:shd w:val="clear" w:color="auto" w:fill="FFFFFF"/>
        <w:tblCellMar>
          <w:top w:w="15" w:type="dxa"/>
          <w:left w:w="15" w:type="dxa"/>
          <w:bottom w:w="15" w:type="dxa"/>
          <w:right w:w="15" w:type="dxa"/>
        </w:tblCellMar>
        <w:tblLook w:val="04A0"/>
      </w:tblPr>
      <w:tblGrid>
        <w:gridCol w:w="1619"/>
        <w:gridCol w:w="7483"/>
      </w:tblGrid>
      <w:tr w:rsidR="00AB3A5C" w:rsidRPr="00AB3A5C" w:rsidTr="00AB3A5C">
        <w:trPr>
          <w:trHeight w:val="375"/>
          <w:tblCellSpacing w:w="0" w:type="dxa"/>
        </w:trPr>
        <w:tc>
          <w:tcPr>
            <w:tcW w:w="2445"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Appellation :</w:t>
            </w:r>
          </w:p>
        </w:tc>
        <w:tc>
          <w:tcPr>
            <w:tcW w:w="15870"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666666"/>
                <w:sz w:val="18"/>
                <w:szCs w:val="18"/>
                <w:lang w:eastAsia="fr-FR"/>
              </w:rPr>
            </w:pPr>
            <w:r w:rsidRPr="00AB3A5C">
              <w:rPr>
                <w:rFonts w:ascii="Arial" w:eastAsia="Times New Roman" w:hAnsi="Arial" w:cs="Arial"/>
                <w:b/>
                <w:bCs/>
                <w:color w:val="666666"/>
                <w:sz w:val="18"/>
                <w:szCs w:val="18"/>
                <w:lang w:eastAsia="fr-FR"/>
              </w:rPr>
              <w:t>AOC Limoux, Blanc</w:t>
            </w:r>
          </w:p>
        </w:tc>
      </w:tr>
      <w:tr w:rsidR="00AB3A5C" w:rsidRPr="00AB3A5C" w:rsidTr="00AB3A5C">
        <w:trPr>
          <w:trHeight w:val="375"/>
          <w:tblCellSpacing w:w="0" w:type="dxa"/>
        </w:trPr>
        <w:tc>
          <w:tcPr>
            <w:tcW w:w="2445"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Cépage(s)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Chardonnay</w:t>
            </w:r>
          </w:p>
        </w:tc>
      </w:tr>
      <w:tr w:rsidR="00AB3A5C" w:rsidRPr="00AB3A5C" w:rsidTr="00AB3A5C">
        <w:trPr>
          <w:trHeight w:val="375"/>
          <w:tblCellSpacing w:w="0" w:type="dxa"/>
        </w:trPr>
        <w:tc>
          <w:tcPr>
            <w:tcW w:w="2445"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Millésime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2011</w:t>
            </w:r>
          </w:p>
        </w:tc>
      </w:tr>
      <w:tr w:rsidR="00AB3A5C" w:rsidRPr="00AB3A5C" w:rsidTr="00AB3A5C">
        <w:trPr>
          <w:trHeight w:val="375"/>
          <w:tblCellSpacing w:w="0" w:type="dxa"/>
        </w:trPr>
        <w:tc>
          <w:tcPr>
            <w:tcW w:w="2445"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Degré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13 %</w:t>
            </w:r>
          </w:p>
        </w:tc>
      </w:tr>
      <w:tr w:rsidR="00AB3A5C" w:rsidRPr="00AB3A5C" w:rsidTr="00AB3A5C">
        <w:trPr>
          <w:trHeight w:val="375"/>
          <w:tblCellSpacing w:w="0" w:type="dxa"/>
        </w:trPr>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Terroir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Haute vallée. Printemps tardif, automne frais. La maturité est tardive</w:t>
            </w:r>
          </w:p>
        </w:tc>
      </w:tr>
      <w:tr w:rsidR="00AB3A5C" w:rsidRPr="00AB3A5C" w:rsidTr="00AB3A5C">
        <w:trPr>
          <w:trHeight w:val="375"/>
          <w:tblCellSpacing w:w="0" w:type="dxa"/>
        </w:trPr>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Vinification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Vinification et élevage en barriques</w:t>
            </w:r>
          </w:p>
        </w:tc>
      </w:tr>
      <w:tr w:rsidR="00AB3A5C" w:rsidRPr="00AB3A5C" w:rsidTr="00AB3A5C">
        <w:trPr>
          <w:trHeight w:val="375"/>
          <w:tblCellSpacing w:w="0" w:type="dxa"/>
        </w:trPr>
        <w:tc>
          <w:tcPr>
            <w:tcW w:w="2445"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Elevage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666666"/>
                <w:sz w:val="18"/>
                <w:szCs w:val="18"/>
                <w:lang w:eastAsia="fr-FR"/>
              </w:rPr>
            </w:pPr>
            <w:r w:rsidRPr="00AB3A5C">
              <w:rPr>
                <w:rFonts w:ascii="Arial" w:eastAsia="Times New Roman" w:hAnsi="Arial" w:cs="Arial"/>
                <w:b/>
                <w:bCs/>
                <w:color w:val="666666"/>
                <w:sz w:val="18"/>
                <w:szCs w:val="18"/>
                <w:lang w:eastAsia="fr-FR"/>
              </w:rPr>
              <w:t>Barrique Chêne français 10 mois</w:t>
            </w:r>
          </w:p>
        </w:tc>
      </w:tr>
      <w:tr w:rsidR="00AB3A5C" w:rsidRPr="00AB3A5C" w:rsidTr="00AB3A5C">
        <w:trPr>
          <w:trHeight w:val="375"/>
          <w:tblCellSpacing w:w="0" w:type="dxa"/>
        </w:trPr>
        <w:tc>
          <w:tcPr>
            <w:tcW w:w="2445"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Température</w:t>
            </w:r>
            <w:r w:rsidRPr="00AB3A5C">
              <w:rPr>
                <w:rFonts w:ascii="Arial" w:eastAsia="Times New Roman" w:hAnsi="Arial" w:cs="Arial"/>
                <w:b/>
                <w:bCs/>
                <w:color w:val="006633"/>
                <w:sz w:val="15"/>
                <w:lang w:eastAsia="fr-FR"/>
              </w:rPr>
              <w:t> </w:t>
            </w:r>
            <w:r w:rsidRPr="00AB3A5C">
              <w:rPr>
                <w:rFonts w:ascii="Arial" w:eastAsia="Times New Roman" w:hAnsi="Arial" w:cs="Arial"/>
                <w:b/>
                <w:bCs/>
                <w:color w:val="006633"/>
                <w:sz w:val="15"/>
                <w:szCs w:val="15"/>
                <w:lang w:eastAsia="fr-FR"/>
              </w:rPr>
              <w:br/>
              <w:t>de service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14° C</w:t>
            </w:r>
          </w:p>
        </w:tc>
      </w:tr>
      <w:tr w:rsidR="00AB3A5C" w:rsidRPr="00AB3A5C" w:rsidTr="00AB3A5C">
        <w:trPr>
          <w:trHeight w:val="375"/>
          <w:tblCellSpacing w:w="0" w:type="dxa"/>
        </w:trPr>
        <w:tc>
          <w:tcPr>
            <w:tcW w:w="2445"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6633"/>
                <w:sz w:val="15"/>
                <w:szCs w:val="15"/>
                <w:lang w:eastAsia="fr-FR"/>
              </w:rPr>
            </w:pPr>
            <w:r w:rsidRPr="00AB3A5C">
              <w:rPr>
                <w:rFonts w:ascii="Arial" w:eastAsia="Times New Roman" w:hAnsi="Arial" w:cs="Arial"/>
                <w:b/>
                <w:bCs/>
                <w:color w:val="006633"/>
                <w:sz w:val="15"/>
                <w:szCs w:val="15"/>
                <w:lang w:eastAsia="fr-FR"/>
              </w:rPr>
              <w:t>Garde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jusqu'à 8 ans</w:t>
            </w:r>
          </w:p>
        </w:tc>
      </w:tr>
    </w:tbl>
    <w:p w:rsidR="00AB3A5C" w:rsidRPr="00AB3A5C" w:rsidRDefault="00005CD5" w:rsidP="00AB3A5C">
      <w:pPr>
        <w:spacing w:after="0" w:line="240" w:lineRule="auto"/>
        <w:rPr>
          <w:rFonts w:ascii="Times New Roman" w:eastAsia="Times New Roman" w:hAnsi="Times New Roman" w:cs="Times New Roman"/>
          <w:sz w:val="24"/>
          <w:szCs w:val="24"/>
          <w:lang w:eastAsia="fr-FR"/>
        </w:rPr>
      </w:pPr>
      <w:r w:rsidRPr="00005CD5">
        <w:rPr>
          <w:rFonts w:ascii="Times New Roman" w:eastAsia="Times New Roman" w:hAnsi="Times New Roman" w:cs="Times New Roman"/>
          <w:sz w:val="24"/>
          <w:szCs w:val="24"/>
          <w:lang w:eastAsia="fr-FR"/>
        </w:rPr>
        <w:pict>
          <v:rect id="_x0000_i1026" style="width:0;height:1.5pt" o:hrstd="t" o:hrnoshade="t" o:hr="t" fillcolor="#595959" stroked="f"/>
        </w:pict>
      </w:r>
    </w:p>
    <w:p w:rsidR="00AB3A5C" w:rsidRPr="00AB3A5C" w:rsidRDefault="00AB3A5C" w:rsidP="00AB3A5C">
      <w:pPr>
        <w:spacing w:after="0" w:line="240" w:lineRule="auto"/>
        <w:rPr>
          <w:rFonts w:ascii="Times New Roman" w:eastAsia="Times New Roman" w:hAnsi="Times New Roman" w:cs="Times New Roman"/>
          <w:sz w:val="24"/>
          <w:szCs w:val="24"/>
          <w:lang w:eastAsia="fr-FR"/>
        </w:rPr>
      </w:pPr>
      <w:r w:rsidRPr="00AB3A5C">
        <w:rPr>
          <w:rFonts w:ascii="Arial" w:eastAsia="Times New Roman" w:hAnsi="Arial" w:cs="Arial"/>
          <w:b/>
          <w:bCs/>
          <w:color w:val="660000"/>
          <w:sz w:val="21"/>
          <w:lang w:eastAsia="fr-FR"/>
        </w:rPr>
        <w:t>Dégustation</w:t>
      </w:r>
    </w:p>
    <w:tbl>
      <w:tblPr>
        <w:tblW w:w="5000" w:type="pct"/>
        <w:tblCellSpacing w:w="0" w:type="dxa"/>
        <w:shd w:val="clear" w:color="auto" w:fill="FFFFFF"/>
        <w:tblCellMar>
          <w:top w:w="15" w:type="dxa"/>
          <w:left w:w="15" w:type="dxa"/>
          <w:bottom w:w="15" w:type="dxa"/>
          <w:right w:w="15" w:type="dxa"/>
        </w:tblCellMar>
        <w:tblLook w:val="04A0"/>
      </w:tblPr>
      <w:tblGrid>
        <w:gridCol w:w="1621"/>
        <w:gridCol w:w="7481"/>
      </w:tblGrid>
      <w:tr w:rsidR="00AB3A5C" w:rsidRPr="00AB3A5C" w:rsidTr="00AB3A5C">
        <w:trPr>
          <w:trHeight w:val="525"/>
          <w:tblCellSpacing w:w="0" w:type="dxa"/>
        </w:trPr>
        <w:tc>
          <w:tcPr>
            <w:tcW w:w="1560"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0000"/>
                <w:sz w:val="15"/>
                <w:szCs w:val="15"/>
                <w:lang w:eastAsia="fr-FR"/>
              </w:rPr>
            </w:pPr>
            <w:r w:rsidRPr="00AB3A5C">
              <w:rPr>
                <w:rFonts w:ascii="Arial" w:eastAsia="Times New Roman" w:hAnsi="Arial" w:cs="Arial"/>
                <w:b/>
                <w:bCs/>
                <w:color w:val="000000"/>
                <w:sz w:val="15"/>
                <w:szCs w:val="15"/>
                <w:lang w:eastAsia="fr-FR"/>
              </w:rPr>
              <w:t>Œil :</w:t>
            </w:r>
          </w:p>
        </w:tc>
        <w:tc>
          <w:tcPr>
            <w:tcW w:w="7200" w:type="dxa"/>
            <w:shd w:val="clear" w:color="auto" w:fill="FFFFFF"/>
            <w:vAlign w:val="center"/>
            <w:hideMark/>
          </w:tcPr>
          <w:p w:rsidR="00AB3A5C" w:rsidRPr="00AB3A5C" w:rsidRDefault="00AB3A5C" w:rsidP="00AB3A5C">
            <w:pPr>
              <w:spacing w:before="100" w:beforeAutospacing="1" w:after="100" w:afterAutospacing="1"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Jaune or</w:t>
            </w:r>
          </w:p>
        </w:tc>
      </w:tr>
      <w:tr w:rsidR="00AB3A5C" w:rsidRPr="00AB3A5C" w:rsidTr="00AB3A5C">
        <w:trPr>
          <w:trHeight w:val="525"/>
          <w:tblCellSpacing w:w="0" w:type="dxa"/>
        </w:trPr>
        <w:tc>
          <w:tcPr>
            <w:tcW w:w="1560"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0000"/>
                <w:sz w:val="15"/>
                <w:szCs w:val="15"/>
                <w:lang w:eastAsia="fr-FR"/>
              </w:rPr>
            </w:pPr>
            <w:r w:rsidRPr="00AB3A5C">
              <w:rPr>
                <w:rFonts w:ascii="Arial" w:eastAsia="Times New Roman" w:hAnsi="Arial" w:cs="Arial"/>
                <w:b/>
                <w:bCs/>
                <w:color w:val="000000"/>
                <w:sz w:val="15"/>
                <w:szCs w:val="15"/>
                <w:lang w:eastAsia="fr-FR"/>
              </w:rPr>
              <w:t>Nez :</w:t>
            </w:r>
          </w:p>
        </w:tc>
        <w:tc>
          <w:tcPr>
            <w:tcW w:w="0" w:type="auto"/>
            <w:shd w:val="clear" w:color="auto" w:fill="FFFFFF"/>
            <w:vAlign w:val="center"/>
            <w:hideMark/>
          </w:tcPr>
          <w:p w:rsidR="00AB3A5C" w:rsidRPr="00AB3A5C" w:rsidRDefault="00AB3A5C" w:rsidP="00AB3A5C">
            <w:pPr>
              <w:spacing w:before="100" w:beforeAutospacing="1" w:after="100" w:afterAutospacing="1"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Floral (fleur blanche), assez discret pendant les 3 premières années</w:t>
            </w:r>
          </w:p>
        </w:tc>
      </w:tr>
      <w:tr w:rsidR="00AB3A5C" w:rsidRPr="00AB3A5C" w:rsidTr="00AB3A5C">
        <w:trPr>
          <w:trHeight w:val="525"/>
          <w:tblCellSpacing w:w="0" w:type="dxa"/>
        </w:trPr>
        <w:tc>
          <w:tcPr>
            <w:tcW w:w="1560" w:type="dxa"/>
            <w:shd w:val="clear" w:color="auto" w:fill="FFFFFF"/>
            <w:vAlign w:val="center"/>
            <w:hideMark/>
          </w:tcPr>
          <w:p w:rsidR="00AB3A5C" w:rsidRPr="00AB3A5C" w:rsidRDefault="00AB3A5C" w:rsidP="00AB3A5C">
            <w:pPr>
              <w:spacing w:after="0" w:line="240" w:lineRule="auto"/>
              <w:jc w:val="both"/>
              <w:rPr>
                <w:rFonts w:ascii="Arial" w:eastAsia="Times New Roman" w:hAnsi="Arial" w:cs="Arial"/>
                <w:b/>
                <w:bCs/>
                <w:color w:val="000000"/>
                <w:sz w:val="15"/>
                <w:szCs w:val="15"/>
                <w:lang w:eastAsia="fr-FR"/>
              </w:rPr>
            </w:pPr>
            <w:r w:rsidRPr="00AB3A5C">
              <w:rPr>
                <w:rFonts w:ascii="Arial" w:eastAsia="Times New Roman" w:hAnsi="Arial" w:cs="Arial"/>
                <w:b/>
                <w:bCs/>
                <w:color w:val="000000"/>
                <w:sz w:val="15"/>
                <w:szCs w:val="15"/>
                <w:lang w:eastAsia="fr-FR"/>
              </w:rPr>
              <w:t>Bouche :</w:t>
            </w:r>
          </w:p>
        </w:tc>
        <w:tc>
          <w:tcPr>
            <w:tcW w:w="0" w:type="auto"/>
            <w:shd w:val="clear" w:color="auto" w:fill="FFFFFF"/>
            <w:vAlign w:val="center"/>
            <w:hideMark/>
          </w:tcPr>
          <w:p w:rsidR="00AB3A5C" w:rsidRPr="00AB3A5C" w:rsidRDefault="00AB3A5C" w:rsidP="00AB3A5C">
            <w:pPr>
              <w:spacing w:after="0" w:line="240" w:lineRule="auto"/>
              <w:jc w:val="both"/>
              <w:rPr>
                <w:rFonts w:ascii="Arial" w:eastAsia="Times New Roman" w:hAnsi="Arial" w:cs="Arial"/>
                <w:color w:val="666666"/>
                <w:sz w:val="18"/>
                <w:szCs w:val="18"/>
                <w:lang w:eastAsia="fr-FR"/>
              </w:rPr>
            </w:pPr>
            <w:r w:rsidRPr="00AB3A5C">
              <w:rPr>
                <w:rFonts w:ascii="Arial" w:eastAsia="Times New Roman" w:hAnsi="Arial" w:cs="Arial"/>
                <w:color w:val="666666"/>
                <w:sz w:val="18"/>
                <w:szCs w:val="18"/>
                <w:lang w:eastAsia="fr-FR"/>
              </w:rPr>
              <w:t>Belle harmonie, rondeur et acidité avec une finale d’une grande complexité</w:t>
            </w:r>
          </w:p>
        </w:tc>
      </w:tr>
    </w:tbl>
    <w:p w:rsidR="002E17A1" w:rsidRPr="0095571F" w:rsidRDefault="00AB3A5C" w:rsidP="0095571F">
      <w:pPr>
        <w:shd w:val="clear" w:color="auto" w:fill="FFFFFF"/>
        <w:spacing w:before="100" w:beforeAutospacing="1" w:after="100" w:afterAutospacing="1" w:line="240" w:lineRule="auto"/>
        <w:jc w:val="both"/>
        <w:rPr>
          <w:rFonts w:ascii="Arial" w:eastAsia="Times New Roman" w:hAnsi="Arial" w:cs="Arial"/>
          <w:color w:val="666666"/>
          <w:sz w:val="18"/>
          <w:szCs w:val="18"/>
          <w:lang w:eastAsia="fr-FR"/>
        </w:rPr>
      </w:pPr>
      <w:r w:rsidRPr="00AB3A5C">
        <w:rPr>
          <w:rFonts w:ascii="Arial" w:eastAsia="Times New Roman" w:hAnsi="Arial" w:cs="Arial"/>
          <w:b/>
          <w:bCs/>
          <w:color w:val="660000"/>
          <w:sz w:val="18"/>
          <w:lang w:eastAsia="fr-FR"/>
        </w:rPr>
        <w:t>Le conseil du Sommelier :</w:t>
      </w:r>
      <w:r w:rsidRPr="00AB3A5C">
        <w:rPr>
          <w:rFonts w:ascii="Arial" w:eastAsia="Times New Roman" w:hAnsi="Arial" w:cs="Arial"/>
          <w:b/>
          <w:bCs/>
          <w:i/>
          <w:iCs/>
          <w:color w:val="000000"/>
          <w:sz w:val="18"/>
          <w:szCs w:val="18"/>
          <w:lang w:eastAsia="fr-FR"/>
        </w:rPr>
        <w:br/>
      </w:r>
      <w:r w:rsidRPr="00AB3A5C">
        <w:rPr>
          <w:rFonts w:ascii="Arial" w:eastAsia="Times New Roman" w:hAnsi="Arial" w:cs="Arial"/>
          <w:b/>
          <w:bCs/>
          <w:i/>
          <w:iCs/>
          <w:color w:val="000000"/>
          <w:sz w:val="18"/>
          <w:lang w:eastAsia="fr-FR"/>
        </w:rPr>
        <w:t>Subtil, complexe, profond, minéral, fruité… une trame des plus flatteuses pour ce grand Chardonnay qui sera magnifique à l'apéritif et parfait avec les moules marinières, la raie aux câpres, le saumon aux asperges ou les gambas grillées.</w:t>
      </w:r>
      <w:r w:rsidRPr="00AB3A5C">
        <w:rPr>
          <w:rFonts w:ascii="Arial" w:eastAsia="Times New Roman" w:hAnsi="Arial" w:cs="Arial"/>
          <w:color w:val="666666"/>
          <w:sz w:val="18"/>
          <w:szCs w:val="18"/>
          <w:lang w:eastAsia="fr-FR"/>
        </w:rPr>
        <w:br/>
      </w:r>
      <w:r w:rsidRPr="00AB3A5C">
        <w:rPr>
          <w:rFonts w:ascii="Arial" w:eastAsia="Times New Roman" w:hAnsi="Arial" w:cs="Arial"/>
          <w:color w:val="666666"/>
          <w:sz w:val="18"/>
          <w:szCs w:val="18"/>
          <w:lang w:eastAsia="fr-FR"/>
        </w:rPr>
        <w:br/>
      </w:r>
      <w:r w:rsidRPr="00AB3A5C">
        <w:rPr>
          <w:rFonts w:ascii="Arial" w:eastAsia="Times New Roman" w:hAnsi="Arial" w:cs="Arial"/>
          <w:b/>
          <w:bCs/>
          <w:color w:val="660000"/>
          <w:sz w:val="18"/>
          <w:lang w:eastAsia="fr-FR"/>
        </w:rPr>
        <w:t>Le commentaire de l'Œnologue :</w:t>
      </w:r>
      <w:r w:rsidRPr="00AB3A5C">
        <w:rPr>
          <w:rFonts w:ascii="Arial" w:eastAsia="Times New Roman" w:hAnsi="Arial" w:cs="Arial"/>
          <w:b/>
          <w:bCs/>
          <w:color w:val="660000"/>
          <w:sz w:val="15"/>
          <w:szCs w:val="15"/>
          <w:lang w:eastAsia="fr-FR"/>
        </w:rPr>
        <w:br/>
      </w:r>
      <w:r w:rsidRPr="00AB3A5C">
        <w:rPr>
          <w:rFonts w:ascii="Arial" w:eastAsia="Times New Roman" w:hAnsi="Arial" w:cs="Arial"/>
          <w:color w:val="000000"/>
          <w:sz w:val="18"/>
          <w:lang w:eastAsia="fr-FR"/>
        </w:rPr>
        <w:t>Ce superbe Chardonnay est cultivé en altitude (&gt; 300 m) avec de fortes amplitudes et une maturation tardive. Vinifié et élevé en barriques, les tanins du bois lui confèrent de la rondeur. La réussite est totale pour ce vin blanc qui peut se conserver quelques années.</w:t>
      </w:r>
    </w:p>
    <w:sectPr w:rsidR="002E17A1" w:rsidRPr="0095571F" w:rsidSect="002E17A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E0E43"/>
    <w:rsid w:val="00005CD5"/>
    <w:rsid w:val="002E17A1"/>
    <w:rsid w:val="007E0E43"/>
    <w:rsid w:val="0095571F"/>
    <w:rsid w:val="00AB3A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7A1"/>
  </w:style>
  <w:style w:type="paragraph" w:styleId="Titre1">
    <w:name w:val="heading 1"/>
    <w:basedOn w:val="Normal"/>
    <w:link w:val="Titre1Car"/>
    <w:uiPriority w:val="9"/>
    <w:qFormat/>
    <w:rsid w:val="007E0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0E4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7E0E4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7E0E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E0E43"/>
    <w:rPr>
      <w:color w:val="0000FF"/>
      <w:u w:val="single"/>
    </w:rPr>
  </w:style>
  <w:style w:type="character" w:customStyle="1" w:styleId="apple-converted-space">
    <w:name w:val="apple-converted-space"/>
    <w:basedOn w:val="Policepardfaut"/>
    <w:rsid w:val="007E0E43"/>
  </w:style>
  <w:style w:type="paragraph" w:customStyle="1" w:styleId="pastille">
    <w:name w:val="pastille"/>
    <w:basedOn w:val="Normal"/>
    <w:rsid w:val="007E0E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E0E43"/>
    <w:rPr>
      <w:b/>
      <w:bCs/>
    </w:rPr>
  </w:style>
  <w:style w:type="paragraph" w:styleId="Textedebulles">
    <w:name w:val="Balloon Text"/>
    <w:basedOn w:val="Normal"/>
    <w:link w:val="TextedebullesCar"/>
    <w:uiPriority w:val="99"/>
    <w:semiHidden/>
    <w:unhideWhenUsed/>
    <w:rsid w:val="007E0E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0E43"/>
    <w:rPr>
      <w:rFonts w:ascii="Tahoma" w:hAnsi="Tahoma" w:cs="Tahoma"/>
      <w:sz w:val="16"/>
      <w:szCs w:val="16"/>
    </w:rPr>
  </w:style>
  <w:style w:type="paragraph" w:customStyle="1" w:styleId="style7">
    <w:name w:val="style7"/>
    <w:basedOn w:val="Normal"/>
    <w:rsid w:val="00AB3A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
    <w:name w:val="style3"/>
    <w:basedOn w:val="Policepardfaut"/>
    <w:rsid w:val="00AB3A5C"/>
  </w:style>
  <w:style w:type="paragraph" w:customStyle="1" w:styleId="style1">
    <w:name w:val="style1"/>
    <w:basedOn w:val="Normal"/>
    <w:rsid w:val="00AB3A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16">
    <w:name w:val="style16"/>
    <w:basedOn w:val="Policepardfaut"/>
    <w:rsid w:val="00AB3A5C"/>
  </w:style>
  <w:style w:type="character" w:customStyle="1" w:styleId="style11">
    <w:name w:val="style11"/>
    <w:basedOn w:val="Policepardfaut"/>
    <w:rsid w:val="00AB3A5C"/>
  </w:style>
  <w:style w:type="character" w:customStyle="1" w:styleId="style13">
    <w:name w:val="style13"/>
    <w:basedOn w:val="Policepardfaut"/>
    <w:rsid w:val="00AB3A5C"/>
  </w:style>
  <w:style w:type="character" w:customStyle="1" w:styleId="style17">
    <w:name w:val="style17"/>
    <w:basedOn w:val="Policepardfaut"/>
    <w:rsid w:val="00AB3A5C"/>
  </w:style>
</w:styles>
</file>

<file path=word/webSettings.xml><?xml version="1.0" encoding="utf-8"?>
<w:webSettings xmlns:r="http://schemas.openxmlformats.org/officeDocument/2006/relationships" xmlns:w="http://schemas.openxmlformats.org/wordprocessingml/2006/main">
  <w:divs>
    <w:div w:id="173954756">
      <w:bodyDiv w:val="1"/>
      <w:marLeft w:val="0"/>
      <w:marRight w:val="0"/>
      <w:marTop w:val="0"/>
      <w:marBottom w:val="0"/>
      <w:divBdr>
        <w:top w:val="none" w:sz="0" w:space="0" w:color="auto"/>
        <w:left w:val="none" w:sz="0" w:space="0" w:color="auto"/>
        <w:bottom w:val="none" w:sz="0" w:space="0" w:color="auto"/>
        <w:right w:val="none" w:sz="0" w:space="0" w:color="auto"/>
      </w:divBdr>
    </w:div>
    <w:div w:id="302198856">
      <w:bodyDiv w:val="1"/>
      <w:marLeft w:val="0"/>
      <w:marRight w:val="0"/>
      <w:marTop w:val="0"/>
      <w:marBottom w:val="0"/>
      <w:divBdr>
        <w:top w:val="none" w:sz="0" w:space="0" w:color="auto"/>
        <w:left w:val="none" w:sz="0" w:space="0" w:color="auto"/>
        <w:bottom w:val="none" w:sz="0" w:space="0" w:color="auto"/>
        <w:right w:val="none" w:sz="0" w:space="0" w:color="auto"/>
      </w:divBdr>
      <w:divsChild>
        <w:div w:id="47074286">
          <w:marLeft w:val="0"/>
          <w:marRight w:val="0"/>
          <w:marTop w:val="0"/>
          <w:marBottom w:val="0"/>
          <w:divBdr>
            <w:top w:val="none" w:sz="0" w:space="0" w:color="auto"/>
            <w:left w:val="none" w:sz="0" w:space="0" w:color="auto"/>
            <w:bottom w:val="none" w:sz="0" w:space="0" w:color="auto"/>
            <w:right w:val="none" w:sz="0" w:space="0" w:color="auto"/>
          </w:divBdr>
          <w:divsChild>
            <w:div w:id="419572141">
              <w:marLeft w:val="0"/>
              <w:marRight w:val="0"/>
              <w:marTop w:val="0"/>
              <w:marBottom w:val="0"/>
              <w:divBdr>
                <w:top w:val="none" w:sz="0" w:space="0" w:color="auto"/>
                <w:left w:val="none" w:sz="0" w:space="0" w:color="auto"/>
                <w:bottom w:val="none" w:sz="0" w:space="0" w:color="auto"/>
                <w:right w:val="none" w:sz="0" w:space="0" w:color="auto"/>
              </w:divBdr>
            </w:div>
            <w:div w:id="1904219561">
              <w:marLeft w:val="0"/>
              <w:marRight w:val="0"/>
              <w:marTop w:val="0"/>
              <w:marBottom w:val="0"/>
              <w:divBdr>
                <w:top w:val="none" w:sz="0" w:space="0" w:color="auto"/>
                <w:left w:val="none" w:sz="0" w:space="0" w:color="auto"/>
                <w:bottom w:val="none" w:sz="0" w:space="0" w:color="auto"/>
                <w:right w:val="none" w:sz="0" w:space="0" w:color="auto"/>
              </w:divBdr>
              <w:divsChild>
                <w:div w:id="314795130">
                  <w:marLeft w:val="60"/>
                  <w:marRight w:val="0"/>
                  <w:marTop w:val="0"/>
                  <w:marBottom w:val="0"/>
                  <w:divBdr>
                    <w:top w:val="none" w:sz="0" w:space="0" w:color="auto"/>
                    <w:left w:val="single" w:sz="18" w:space="5" w:color="D7D2CE"/>
                    <w:bottom w:val="none" w:sz="0" w:space="0" w:color="auto"/>
                    <w:right w:val="none" w:sz="0" w:space="0" w:color="auto"/>
                  </w:divBdr>
                  <w:divsChild>
                    <w:div w:id="1665933075">
                      <w:marLeft w:val="0"/>
                      <w:marRight w:val="0"/>
                      <w:marTop w:val="0"/>
                      <w:marBottom w:val="0"/>
                      <w:divBdr>
                        <w:top w:val="none" w:sz="0" w:space="0" w:color="auto"/>
                        <w:left w:val="none" w:sz="0" w:space="0" w:color="auto"/>
                        <w:bottom w:val="none" w:sz="0" w:space="0" w:color="auto"/>
                        <w:right w:val="none" w:sz="0" w:space="0" w:color="auto"/>
                      </w:divBdr>
                    </w:div>
                    <w:div w:id="919410583">
                      <w:marLeft w:val="0"/>
                      <w:marRight w:val="0"/>
                      <w:marTop w:val="0"/>
                      <w:marBottom w:val="0"/>
                      <w:divBdr>
                        <w:top w:val="none" w:sz="0" w:space="0" w:color="auto"/>
                        <w:left w:val="none" w:sz="0" w:space="0" w:color="auto"/>
                        <w:bottom w:val="none" w:sz="0" w:space="0" w:color="auto"/>
                        <w:right w:val="none" w:sz="0" w:space="0" w:color="auto"/>
                      </w:divBdr>
                    </w:div>
                    <w:div w:id="200286426">
                      <w:marLeft w:val="0"/>
                      <w:marRight w:val="0"/>
                      <w:marTop w:val="0"/>
                      <w:marBottom w:val="0"/>
                      <w:divBdr>
                        <w:top w:val="none" w:sz="0" w:space="0" w:color="auto"/>
                        <w:left w:val="none" w:sz="0" w:space="0" w:color="auto"/>
                        <w:bottom w:val="none" w:sz="0" w:space="0" w:color="auto"/>
                        <w:right w:val="none" w:sz="0" w:space="0" w:color="auto"/>
                      </w:divBdr>
                    </w:div>
                    <w:div w:id="1557857043">
                      <w:marLeft w:val="0"/>
                      <w:marRight w:val="0"/>
                      <w:marTop w:val="0"/>
                      <w:marBottom w:val="0"/>
                      <w:divBdr>
                        <w:top w:val="none" w:sz="0" w:space="0" w:color="auto"/>
                        <w:left w:val="none" w:sz="0" w:space="0" w:color="auto"/>
                        <w:bottom w:val="none" w:sz="0" w:space="0" w:color="auto"/>
                        <w:right w:val="none" w:sz="0" w:space="0" w:color="auto"/>
                      </w:divBdr>
                    </w:div>
                    <w:div w:id="180558435">
                      <w:marLeft w:val="0"/>
                      <w:marRight w:val="0"/>
                      <w:marTop w:val="0"/>
                      <w:marBottom w:val="0"/>
                      <w:divBdr>
                        <w:top w:val="none" w:sz="0" w:space="0" w:color="auto"/>
                        <w:left w:val="none" w:sz="0" w:space="0" w:color="auto"/>
                        <w:bottom w:val="none" w:sz="0" w:space="0" w:color="auto"/>
                        <w:right w:val="none" w:sz="0" w:space="0" w:color="auto"/>
                      </w:divBdr>
                    </w:div>
                    <w:div w:id="1207259064">
                      <w:marLeft w:val="0"/>
                      <w:marRight w:val="0"/>
                      <w:marTop w:val="0"/>
                      <w:marBottom w:val="0"/>
                      <w:divBdr>
                        <w:top w:val="none" w:sz="0" w:space="0" w:color="auto"/>
                        <w:left w:val="none" w:sz="0" w:space="0" w:color="auto"/>
                        <w:bottom w:val="none" w:sz="0" w:space="0" w:color="auto"/>
                        <w:right w:val="none" w:sz="0" w:space="0" w:color="auto"/>
                      </w:divBdr>
                    </w:div>
                    <w:div w:id="992948513">
                      <w:marLeft w:val="0"/>
                      <w:marRight w:val="0"/>
                      <w:marTop w:val="0"/>
                      <w:marBottom w:val="0"/>
                      <w:divBdr>
                        <w:top w:val="none" w:sz="0" w:space="0" w:color="auto"/>
                        <w:left w:val="none" w:sz="0" w:space="0" w:color="auto"/>
                        <w:bottom w:val="none" w:sz="0" w:space="0" w:color="auto"/>
                        <w:right w:val="none" w:sz="0" w:space="0" w:color="auto"/>
                      </w:divBdr>
                      <w:divsChild>
                        <w:div w:id="1669751075">
                          <w:marLeft w:val="0"/>
                          <w:marRight w:val="0"/>
                          <w:marTop w:val="0"/>
                          <w:marBottom w:val="0"/>
                          <w:divBdr>
                            <w:top w:val="none" w:sz="0" w:space="0" w:color="auto"/>
                            <w:left w:val="none" w:sz="0" w:space="0" w:color="auto"/>
                            <w:bottom w:val="none" w:sz="0" w:space="0" w:color="auto"/>
                            <w:right w:val="none" w:sz="0" w:space="0" w:color="auto"/>
                          </w:divBdr>
                        </w:div>
                        <w:div w:id="391806082">
                          <w:marLeft w:val="0"/>
                          <w:marRight w:val="0"/>
                          <w:marTop w:val="0"/>
                          <w:marBottom w:val="0"/>
                          <w:divBdr>
                            <w:top w:val="none" w:sz="0" w:space="0" w:color="auto"/>
                            <w:left w:val="none" w:sz="0" w:space="0" w:color="auto"/>
                            <w:bottom w:val="none" w:sz="0" w:space="0" w:color="auto"/>
                            <w:right w:val="none" w:sz="0" w:space="0" w:color="auto"/>
                          </w:divBdr>
                        </w:div>
                      </w:divsChild>
                    </w:div>
                    <w:div w:id="1209681313">
                      <w:marLeft w:val="0"/>
                      <w:marRight w:val="0"/>
                      <w:marTop w:val="0"/>
                      <w:marBottom w:val="0"/>
                      <w:divBdr>
                        <w:top w:val="none" w:sz="0" w:space="0" w:color="auto"/>
                        <w:left w:val="none" w:sz="0" w:space="0" w:color="auto"/>
                        <w:bottom w:val="none" w:sz="0" w:space="0" w:color="auto"/>
                        <w:right w:val="none" w:sz="0" w:space="0" w:color="auto"/>
                      </w:divBdr>
                    </w:div>
                    <w:div w:id="1089472612">
                      <w:marLeft w:val="0"/>
                      <w:marRight w:val="0"/>
                      <w:marTop w:val="0"/>
                      <w:marBottom w:val="0"/>
                      <w:divBdr>
                        <w:top w:val="none" w:sz="0" w:space="0" w:color="auto"/>
                        <w:left w:val="none" w:sz="0" w:space="0" w:color="auto"/>
                        <w:bottom w:val="none" w:sz="0" w:space="0" w:color="auto"/>
                        <w:right w:val="none" w:sz="0" w:space="0" w:color="auto"/>
                      </w:divBdr>
                    </w:div>
                    <w:div w:id="1981030633">
                      <w:marLeft w:val="0"/>
                      <w:marRight w:val="0"/>
                      <w:marTop w:val="0"/>
                      <w:marBottom w:val="0"/>
                      <w:divBdr>
                        <w:top w:val="none" w:sz="0" w:space="0" w:color="auto"/>
                        <w:left w:val="none" w:sz="0" w:space="0" w:color="auto"/>
                        <w:bottom w:val="none" w:sz="0" w:space="0" w:color="auto"/>
                        <w:right w:val="none" w:sz="0" w:space="0" w:color="auto"/>
                      </w:divBdr>
                    </w:div>
                  </w:divsChild>
                </w:div>
                <w:div w:id="1960066983">
                  <w:marLeft w:val="60"/>
                  <w:marRight w:val="0"/>
                  <w:marTop w:val="0"/>
                  <w:marBottom w:val="0"/>
                  <w:divBdr>
                    <w:top w:val="none" w:sz="0" w:space="0" w:color="auto"/>
                    <w:left w:val="single" w:sz="18" w:space="5" w:color="D7D2CE"/>
                    <w:bottom w:val="none" w:sz="0" w:space="0" w:color="auto"/>
                    <w:right w:val="none" w:sz="0" w:space="0" w:color="auto"/>
                  </w:divBdr>
                  <w:divsChild>
                    <w:div w:id="906960789">
                      <w:marLeft w:val="0"/>
                      <w:marRight w:val="0"/>
                      <w:marTop w:val="0"/>
                      <w:marBottom w:val="0"/>
                      <w:divBdr>
                        <w:top w:val="none" w:sz="0" w:space="0" w:color="auto"/>
                        <w:left w:val="none" w:sz="0" w:space="0" w:color="auto"/>
                        <w:bottom w:val="none" w:sz="0" w:space="0" w:color="auto"/>
                        <w:right w:val="none" w:sz="0" w:space="0" w:color="auto"/>
                      </w:divBdr>
                    </w:div>
                    <w:div w:id="384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1111</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3</cp:revision>
  <dcterms:created xsi:type="dcterms:W3CDTF">2014-10-07T15:21:00Z</dcterms:created>
  <dcterms:modified xsi:type="dcterms:W3CDTF">2015-01-27T14:04:00Z</dcterms:modified>
</cp:coreProperties>
</file>