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B4" w:rsidRDefault="00A87681" w:rsidP="00FC00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10011" cy="3495675"/>
            <wp:effectExtent l="19050" t="0" r="0" b="0"/>
            <wp:docPr id="10" name="Image 10" descr="boute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uteil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11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81" w:rsidRDefault="00A87681" w:rsidP="00A87681">
      <w:pPr>
        <w:pStyle w:val="NormalWeb"/>
        <w:rPr>
          <w:rStyle w:val="lev"/>
        </w:rPr>
      </w:pPr>
    </w:p>
    <w:p w:rsidR="00A87681" w:rsidRDefault="00A87681" w:rsidP="00A87681">
      <w:pPr>
        <w:pStyle w:val="NormalWeb"/>
        <w:rPr>
          <w:rStyle w:val="lev"/>
        </w:rPr>
      </w:pPr>
    </w:p>
    <w:p w:rsidR="00A87681" w:rsidRDefault="00A87681" w:rsidP="00A87681">
      <w:pPr>
        <w:pStyle w:val="NormalWeb"/>
      </w:pPr>
      <w:r>
        <w:rPr>
          <w:rStyle w:val="lev"/>
        </w:rPr>
        <w:t>GIGONDAS « Tradition » • Rouge</w:t>
      </w:r>
    </w:p>
    <w:p w:rsidR="00A87681" w:rsidRDefault="00A87681" w:rsidP="00A87681">
      <w:pPr>
        <w:pStyle w:val="NormalWeb"/>
        <w:rPr>
          <w:u w:val="single"/>
        </w:rPr>
      </w:pPr>
    </w:p>
    <w:p w:rsidR="00A87681" w:rsidRDefault="00A87681" w:rsidP="00A87681">
      <w:pPr>
        <w:pStyle w:val="NormalWeb"/>
      </w:pPr>
      <w:r>
        <w:rPr>
          <w:u w:val="single"/>
        </w:rPr>
        <w:t xml:space="preserve">Cépages </w:t>
      </w:r>
      <w:r>
        <w:t>: prédominance de grenache, renforcé par la syrah, le mourvèdre et le cinsault.</w:t>
      </w:r>
    </w:p>
    <w:p w:rsidR="00A87681" w:rsidRDefault="00A87681" w:rsidP="00A87681">
      <w:pPr>
        <w:pStyle w:val="NormalWeb"/>
        <w:rPr>
          <w:u w:val="single"/>
        </w:rPr>
      </w:pPr>
    </w:p>
    <w:p w:rsidR="00A87681" w:rsidRDefault="00A87681" w:rsidP="00A87681">
      <w:pPr>
        <w:pStyle w:val="NormalWeb"/>
      </w:pPr>
      <w:r>
        <w:rPr>
          <w:u w:val="single"/>
        </w:rPr>
        <w:t>Notes de dégustation</w:t>
      </w:r>
      <w:r>
        <w:t xml:space="preserve"> : c'est un vin captivant, dense, bien équilibré et épicé avec beaucoup d'élégance dans la puissance. Grâce à un passage de 6 à 8 mois dans des foudres de chêne, une oxydation douce s'opère, augmentant de façon naturelle et harmonieuse la complexité aromatique de ce Gigondas.</w:t>
      </w:r>
    </w:p>
    <w:p w:rsidR="00A87681" w:rsidRDefault="00A87681" w:rsidP="00A87681">
      <w:pPr>
        <w:pStyle w:val="NormalWeb"/>
        <w:rPr>
          <w:u w:val="single"/>
        </w:rPr>
      </w:pPr>
    </w:p>
    <w:p w:rsidR="00A87681" w:rsidRDefault="00A87681" w:rsidP="00A87681">
      <w:pPr>
        <w:pStyle w:val="NormalWeb"/>
      </w:pPr>
      <w:r>
        <w:rPr>
          <w:u w:val="single"/>
        </w:rPr>
        <w:t xml:space="preserve">Accords mets et vins </w:t>
      </w:r>
      <w:r>
        <w:t xml:space="preserve">: viandes rouges et particulièrement </w:t>
      </w:r>
      <w:r>
        <w:br/>
        <w:t>l'agneau, gibier, plats épicés, fromages. À servir idéalement entre 16° et 18°.</w:t>
      </w:r>
      <w:r>
        <w:br/>
        <w:t>Peut se garder 10 à 15 ans.</w:t>
      </w:r>
    </w:p>
    <w:p w:rsidR="00A87681" w:rsidRDefault="00A87681" w:rsidP="00FC00B4">
      <w:pPr>
        <w:jc w:val="center"/>
      </w:pPr>
    </w:p>
    <w:sectPr w:rsidR="00A87681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13349B"/>
    <w:rsid w:val="008B57FE"/>
    <w:rsid w:val="00A87681"/>
    <w:rsid w:val="00BF7FD4"/>
    <w:rsid w:val="00F02C8B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  <w:style w:type="character" w:styleId="lev">
    <w:name w:val="Strong"/>
    <w:basedOn w:val="Policepardfaut"/>
    <w:uiPriority w:val="22"/>
    <w:qFormat/>
    <w:rsid w:val="00A876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2015-01-27T17:24:00Z</dcterms:created>
  <dcterms:modified xsi:type="dcterms:W3CDTF">2015-01-27T17:24:00Z</dcterms:modified>
</cp:coreProperties>
</file>